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EACE" w14:textId="7F6FC40F" w:rsidR="00320011" w:rsidRPr="00320011" w:rsidRDefault="00320011" w:rsidP="00320011">
      <w:pPr>
        <w:jc w:val="both"/>
        <w:rPr>
          <w:rFonts w:eastAsia="Times New Roman" w:cs="Times New Roman"/>
          <w:b/>
          <w:color w:val="000000" w:themeColor="text1"/>
          <w:sz w:val="26"/>
          <w:szCs w:val="26"/>
          <w:lang w:eastAsia="hr-HR"/>
          <w14:ligatures w14:val="none"/>
        </w:rPr>
      </w:pPr>
      <w:r w:rsidRPr="00320011">
        <w:rPr>
          <w:rFonts w:eastAsia="Times New Roman" w:cs="Times New Roman"/>
          <w:b/>
          <w:color w:val="000000" w:themeColor="text1"/>
          <w:sz w:val="26"/>
          <w:szCs w:val="26"/>
          <w:lang w:eastAsia="hr-HR"/>
          <w14:ligatures w14:val="none"/>
        </w:rPr>
        <w:t>44. sjednic</w:t>
      </w:r>
      <w:r w:rsidR="00463797">
        <w:rPr>
          <w:rFonts w:eastAsia="Times New Roman" w:cs="Times New Roman"/>
          <w:b/>
          <w:color w:val="000000" w:themeColor="text1"/>
          <w:sz w:val="26"/>
          <w:szCs w:val="26"/>
          <w:lang w:eastAsia="hr-HR"/>
          <w14:ligatures w14:val="none"/>
        </w:rPr>
        <w:t>a</w:t>
      </w:r>
      <w:r w:rsidRPr="00320011">
        <w:rPr>
          <w:rFonts w:eastAsia="Times New Roman" w:cs="Times New Roman"/>
          <w:b/>
          <w:color w:val="000000" w:themeColor="text1"/>
          <w:sz w:val="26"/>
          <w:szCs w:val="26"/>
          <w:lang w:eastAsia="hr-HR"/>
          <w14:ligatures w14:val="none"/>
        </w:rPr>
        <w:t xml:space="preserve"> Upravnog vijeća Klinike za psihijatriju Vrapče održana 27. svibnja 2025. godine </w:t>
      </w:r>
    </w:p>
    <w:p w14:paraId="28BDDED6" w14:textId="77777777" w:rsidR="00320011" w:rsidRDefault="00320011" w:rsidP="00320011">
      <w:pPr>
        <w:suppressAutoHyphens/>
        <w:jc w:val="both"/>
        <w:textAlignment w:val="baseline"/>
        <w:rPr>
          <w:rFonts w:eastAsia="Times New Roman" w:cs="Times New Roman"/>
          <w:b/>
          <w:bCs/>
          <w:color w:val="000000" w:themeColor="text1"/>
          <w:lang w:eastAsia="hr-HR"/>
          <w14:ligatures w14:val="none"/>
        </w:rPr>
      </w:pPr>
    </w:p>
    <w:p w14:paraId="6476698C" w14:textId="77777777" w:rsidR="00320011" w:rsidRPr="00320011" w:rsidRDefault="00320011" w:rsidP="00320011">
      <w:pPr>
        <w:suppressAutoHyphens/>
        <w:jc w:val="both"/>
        <w:textAlignment w:val="baseline"/>
        <w:rPr>
          <w:rFonts w:eastAsia="Times New Roman" w:cs="Times New Roman"/>
          <w:b/>
          <w:bCs/>
          <w:color w:val="000000" w:themeColor="text1"/>
          <w:lang w:eastAsia="hr-HR"/>
          <w14:ligatures w14:val="none"/>
        </w:rPr>
      </w:pPr>
    </w:p>
    <w:p w14:paraId="171A7C74" w14:textId="77777777" w:rsidR="00320011" w:rsidRPr="00320011" w:rsidRDefault="00320011" w:rsidP="00320011">
      <w:pPr>
        <w:suppressAutoHyphens/>
        <w:jc w:val="both"/>
        <w:textAlignment w:val="baseline"/>
        <w:rPr>
          <w:rFonts w:eastAsia="Times New Roman" w:cs="Times New Roman"/>
          <w:b/>
          <w:bCs/>
          <w:color w:val="000000" w:themeColor="text1"/>
          <w:lang w:eastAsia="hr-HR"/>
          <w14:ligatures w14:val="none"/>
        </w:rPr>
      </w:pPr>
      <w:r w:rsidRPr="00320011">
        <w:rPr>
          <w:rFonts w:eastAsia="Times New Roman" w:cs="Times New Roman"/>
          <w:b/>
          <w:bCs/>
          <w:color w:val="000000" w:themeColor="text1"/>
          <w:lang w:eastAsia="hr-HR"/>
          <w14:ligatures w14:val="none"/>
        </w:rPr>
        <w:t xml:space="preserve">Ad 1) Prihvaćanje zapisnika Upravnog vijeća sa 43. sjednice održane 29. travnja 2025. godine </w:t>
      </w:r>
    </w:p>
    <w:p w14:paraId="6E253745" w14:textId="77777777" w:rsidR="00320011" w:rsidRPr="00320011" w:rsidRDefault="00320011" w:rsidP="00320011">
      <w:pPr>
        <w:suppressAutoHyphens/>
        <w:jc w:val="both"/>
        <w:textAlignment w:val="baseline"/>
        <w:rPr>
          <w:rFonts w:eastAsia="Times New Roman" w:cs="Times New Roman"/>
          <w:b/>
          <w:bCs/>
          <w:color w:val="000000" w:themeColor="text1"/>
          <w:lang w:eastAsia="hr-HR"/>
          <w14:ligatures w14:val="none"/>
        </w:rPr>
      </w:pPr>
    </w:p>
    <w:p w14:paraId="24C636B2" w14:textId="77777777" w:rsidR="00320011" w:rsidRDefault="00320011" w:rsidP="00320011">
      <w:pPr>
        <w:suppressAutoHyphens/>
        <w:jc w:val="both"/>
        <w:textAlignment w:val="baseline"/>
        <w:rPr>
          <w:rFonts w:eastAsia="Times New Roman" w:cs="Times New Roman"/>
          <w:color w:val="000000" w:themeColor="text1"/>
          <w:lang w:eastAsia="hr-HR"/>
          <w14:ligatures w14:val="none"/>
        </w:rPr>
      </w:pPr>
      <w:r w:rsidRPr="00320011">
        <w:rPr>
          <w:rFonts w:eastAsia="Times New Roman" w:cs="Times New Roman"/>
          <w:color w:val="000000" w:themeColor="text1"/>
          <w:lang w:eastAsia="hr-HR"/>
          <w14:ligatures w14:val="none"/>
        </w:rPr>
        <w:tab/>
        <w:t>Prihvaćen je zapisnik sa 43. sjednice Upravnog vijeća održane 29. travnja 2025. godine.</w:t>
      </w:r>
    </w:p>
    <w:p w14:paraId="22247A25" w14:textId="77777777" w:rsidR="00320011" w:rsidRPr="00320011" w:rsidRDefault="00320011" w:rsidP="00320011">
      <w:pPr>
        <w:suppressAutoHyphens/>
        <w:jc w:val="both"/>
        <w:textAlignment w:val="baseline"/>
        <w:rPr>
          <w:rFonts w:eastAsia="Times New Roman" w:cs="Times New Roman"/>
          <w:color w:val="000000" w:themeColor="text1"/>
          <w:lang w:eastAsia="hr-HR"/>
          <w14:ligatures w14:val="none"/>
        </w:rPr>
      </w:pPr>
    </w:p>
    <w:p w14:paraId="632D2267" w14:textId="77777777" w:rsidR="00320011" w:rsidRPr="00320011" w:rsidRDefault="00320011" w:rsidP="00320011">
      <w:pPr>
        <w:jc w:val="both"/>
        <w:rPr>
          <w:rFonts w:eastAsia="Times New Roman" w:cs="Times New Roman"/>
          <w:b/>
          <w:bCs/>
          <w14:ligatures w14:val="none"/>
        </w:rPr>
      </w:pPr>
      <w:r w:rsidRPr="00320011">
        <w:rPr>
          <w:rFonts w:eastAsia="Times New Roman" w:cs="Times New Roman"/>
          <w:b/>
          <w:bCs/>
          <w:color w:val="000000" w:themeColor="text1"/>
          <w14:ligatures w14:val="none"/>
        </w:rPr>
        <w:t xml:space="preserve">Ad 2) </w:t>
      </w:r>
      <w:r w:rsidRPr="00320011">
        <w:rPr>
          <w:rFonts w:eastAsia="Times New Roman" w:cs="Times New Roman"/>
          <w:b/>
          <w:bCs/>
          <w14:ligatures w14:val="none"/>
        </w:rPr>
        <w:t xml:space="preserve">Izvješće financijskog poslovanja Bolnice za razdoblje od 1. siječnja do 30. travnja 2025. god. i </w:t>
      </w:r>
    </w:p>
    <w:p w14:paraId="558DBE28" w14:textId="77777777" w:rsidR="00320011" w:rsidRPr="00320011" w:rsidRDefault="00320011" w:rsidP="00320011">
      <w:pPr>
        <w:jc w:val="both"/>
        <w:rPr>
          <w:rFonts w:eastAsia="Times New Roman" w:cs="Times New Roman"/>
          <w:b/>
          <w:bCs/>
          <w14:ligatures w14:val="none"/>
        </w:rPr>
      </w:pPr>
      <w:r w:rsidRPr="00320011">
        <w:rPr>
          <w:rFonts w:eastAsia="Times New Roman" w:cs="Times New Roman"/>
          <w:b/>
          <w:bCs/>
          <w14:ligatures w14:val="none"/>
        </w:rPr>
        <w:t xml:space="preserve">          za mjesec travanj 2025. godine te analiza izvršenja programa</w:t>
      </w:r>
    </w:p>
    <w:p w14:paraId="39C4DE39" w14:textId="77777777" w:rsidR="00320011" w:rsidRPr="00320011" w:rsidRDefault="00320011" w:rsidP="00320011">
      <w:pPr>
        <w:tabs>
          <w:tab w:val="left" w:pos="4410"/>
        </w:tabs>
        <w:suppressAutoHyphens/>
        <w:ind w:left="567" w:hanging="567"/>
        <w:rPr>
          <w:rFonts w:eastAsia="Times New Roman" w:cs="Times New Roman"/>
          <w:b/>
          <w:bCs/>
          <w:color w:val="000000" w:themeColor="text1"/>
          <w14:ligatures w14:val="none"/>
        </w:rPr>
      </w:pPr>
    </w:p>
    <w:p w14:paraId="2C380431" w14:textId="34930FFA" w:rsidR="00320011" w:rsidRPr="00320011" w:rsidRDefault="00320011" w:rsidP="00320011">
      <w:pPr>
        <w:suppressAutoHyphens/>
        <w:jc w:val="center"/>
        <w:textAlignment w:val="baseline"/>
        <w:rPr>
          <w:rFonts w:eastAsia="Calibri" w:cs="Times New Roman"/>
          <w:color w:val="000000" w:themeColor="text1"/>
          <w:lang w:eastAsia="hr-HR"/>
          <w14:ligatures w14:val="none"/>
        </w:rPr>
      </w:pPr>
      <w:r w:rsidRPr="00320011">
        <w:rPr>
          <w:rFonts w:eastAsia="Calibri" w:cs="Times New Roman"/>
          <w:color w:val="000000" w:themeColor="text1"/>
          <w:lang w:eastAsia="hr-HR"/>
          <w14:ligatures w14:val="none"/>
        </w:rPr>
        <w:t>ZAKLJUČAK</w:t>
      </w:r>
    </w:p>
    <w:p w14:paraId="7ADC595C" w14:textId="77777777" w:rsidR="00320011" w:rsidRPr="00320011" w:rsidRDefault="00320011" w:rsidP="00320011">
      <w:pPr>
        <w:suppressAutoHyphens/>
        <w:ind w:firstLine="708"/>
        <w:jc w:val="both"/>
        <w:textAlignment w:val="baseline"/>
        <w:rPr>
          <w:rFonts w:eastAsia="Times New Roman" w:cs="Times New Roman"/>
          <w:color w:val="000000" w:themeColor="text1"/>
          <w:lang w:eastAsia="hr-HR"/>
          <w14:ligatures w14:val="none"/>
        </w:rPr>
      </w:pPr>
      <w:r w:rsidRPr="00320011">
        <w:rPr>
          <w:rFonts w:eastAsia="Calibri" w:cs="Times New Roman"/>
          <w:color w:val="000000" w:themeColor="text1"/>
          <w:kern w:val="32"/>
          <w:lang w:eastAsia="hr-HR"/>
          <w14:ligatures w14:val="none"/>
        </w:rPr>
        <w:t>Usvaja se Izvješće financijskog poslovanja Bolnice za razdoblje od 1. siječnja do 30. travnja 2025. godine i za mjesec travanj 2025. godine te analiza izvršenja programa rada.</w:t>
      </w:r>
    </w:p>
    <w:p w14:paraId="725D0DD6" w14:textId="77777777" w:rsidR="00320011" w:rsidRPr="00320011" w:rsidRDefault="00320011" w:rsidP="00320011">
      <w:pPr>
        <w:jc w:val="both"/>
        <w:rPr>
          <w:rFonts w:eastAsia="Calibri" w:cs="Times New Roman"/>
          <w:bCs/>
          <w:color w:val="000000" w:themeColor="text1"/>
          <w:kern w:val="32"/>
          <w14:ligatures w14:val="none"/>
        </w:rPr>
      </w:pPr>
    </w:p>
    <w:p w14:paraId="5C53F0EF" w14:textId="77777777" w:rsidR="00320011" w:rsidRPr="00320011" w:rsidRDefault="00320011" w:rsidP="00320011">
      <w:pPr>
        <w:jc w:val="both"/>
        <w:rPr>
          <w:rFonts w:eastAsia="Times New Roman" w:cs="Times New Roman"/>
          <w:b/>
          <w:lang w:eastAsia="hr-HR"/>
          <w14:ligatures w14:val="none"/>
        </w:rPr>
      </w:pPr>
      <w:r w:rsidRPr="00320011">
        <w:rPr>
          <w:rFonts w:eastAsia="Times New Roman" w:cs="Times New Roman"/>
          <w:b/>
          <w:color w:val="000000" w:themeColor="text1"/>
          <w:lang w:eastAsia="hr-HR"/>
          <w14:ligatures w14:val="none"/>
        </w:rPr>
        <w:t xml:space="preserve">Ad 3) </w:t>
      </w:r>
      <w:r w:rsidRPr="00320011">
        <w:rPr>
          <w:b/>
        </w:rPr>
        <w:t>Prijedlog II. rebalansa financijskog plana prihoda i rashoda za 2025. godinu</w:t>
      </w:r>
    </w:p>
    <w:p w14:paraId="1B4EF125" w14:textId="77777777" w:rsidR="00320011" w:rsidRPr="00320011" w:rsidRDefault="00320011" w:rsidP="00320011">
      <w:pPr>
        <w:jc w:val="both"/>
        <w:rPr>
          <w:rFonts w:eastAsia="Calibri" w:cs="Arial"/>
          <w:bCs/>
        </w:rPr>
      </w:pPr>
    </w:p>
    <w:p w14:paraId="36D3B12F" w14:textId="293D187D" w:rsidR="00320011" w:rsidRPr="00320011" w:rsidRDefault="00320011" w:rsidP="00320011">
      <w:pPr>
        <w:jc w:val="center"/>
        <w:rPr>
          <w:bCs/>
        </w:rPr>
      </w:pPr>
      <w:r w:rsidRPr="00320011">
        <w:rPr>
          <w:bCs/>
        </w:rPr>
        <w:t>ODLUKA</w:t>
      </w:r>
    </w:p>
    <w:p w14:paraId="4B1904B0" w14:textId="77777777" w:rsidR="00320011" w:rsidRPr="00320011" w:rsidRDefault="00320011" w:rsidP="00320011">
      <w:pPr>
        <w:jc w:val="both"/>
        <w:rPr>
          <w:bCs/>
        </w:rPr>
      </w:pPr>
      <w:r w:rsidRPr="00320011">
        <w:rPr>
          <w:bCs/>
        </w:rPr>
        <w:t>Usvaja se II. rebalans Klinike za 2025. godinu kao i sve pripadajuće stavke prijedloga rebalansa financijskog plana prihoda i rashoda, opći i posebni dio.</w:t>
      </w:r>
    </w:p>
    <w:p w14:paraId="19D5A862" w14:textId="77777777" w:rsidR="00320011" w:rsidRPr="00320011" w:rsidRDefault="00320011" w:rsidP="00320011">
      <w:pPr>
        <w:ind w:left="360"/>
        <w:contextualSpacing/>
        <w:jc w:val="both"/>
        <w:rPr>
          <w:bCs/>
          <w:sz w:val="10"/>
          <w:szCs w:val="10"/>
        </w:rPr>
      </w:pPr>
    </w:p>
    <w:p w14:paraId="34A98647" w14:textId="77777777" w:rsidR="00320011" w:rsidRPr="00320011" w:rsidRDefault="00320011" w:rsidP="00320011">
      <w:pPr>
        <w:ind w:left="-624"/>
        <w:contextualSpacing/>
        <w:jc w:val="center"/>
        <w:rPr>
          <w:b/>
          <w:bCs/>
        </w:rPr>
      </w:pPr>
      <w:r w:rsidRPr="00320011">
        <w:rPr>
          <w:noProof/>
        </w:rPr>
        <w:drawing>
          <wp:inline distT="0" distB="0" distL="0" distR="0" wp14:anchorId="4929B22B" wp14:editId="5FA4EBCB">
            <wp:extent cx="5941060" cy="2665730"/>
            <wp:effectExtent l="0" t="0" r="2540" b="1270"/>
            <wp:docPr id="4043087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2665730"/>
                    </a:xfrm>
                    <a:prstGeom prst="rect">
                      <a:avLst/>
                    </a:prstGeom>
                    <a:noFill/>
                    <a:ln>
                      <a:noFill/>
                    </a:ln>
                  </pic:spPr>
                </pic:pic>
              </a:graphicData>
            </a:graphic>
          </wp:inline>
        </w:drawing>
      </w:r>
    </w:p>
    <w:p w14:paraId="669120FD" w14:textId="77777777" w:rsidR="00320011" w:rsidRPr="00320011" w:rsidRDefault="00320011" w:rsidP="00320011">
      <w:pPr>
        <w:rPr>
          <w:b/>
        </w:rPr>
      </w:pPr>
    </w:p>
    <w:p w14:paraId="17D5AC99" w14:textId="77777777" w:rsidR="00320011" w:rsidRPr="00320011" w:rsidRDefault="00320011" w:rsidP="00320011">
      <w:pPr>
        <w:contextualSpacing/>
        <w:jc w:val="both"/>
        <w:rPr>
          <w:b/>
        </w:rPr>
      </w:pPr>
      <w:r w:rsidRPr="00320011">
        <w:rPr>
          <w:rFonts w:eastAsia="Times New Roman" w:cs="Times New Roman"/>
          <w:b/>
          <w:color w:val="000000" w:themeColor="text1"/>
          <w:lang w:eastAsia="hr-HR"/>
          <w14:ligatures w14:val="none"/>
        </w:rPr>
        <w:t xml:space="preserve">Ad 4) </w:t>
      </w:r>
      <w:r w:rsidRPr="00320011">
        <w:rPr>
          <w:b/>
        </w:rPr>
        <w:t>Prijedlog IV. izmjene Plana nabave za 2025. godinu</w:t>
      </w:r>
    </w:p>
    <w:p w14:paraId="7B4B28F8" w14:textId="77777777" w:rsidR="00320011" w:rsidRPr="00320011" w:rsidRDefault="00320011" w:rsidP="00320011">
      <w:pPr>
        <w:contextualSpacing/>
        <w:jc w:val="both"/>
        <w:rPr>
          <w:rFonts w:eastAsia="Times New Roman" w:cs="Times New Roman"/>
          <w:b/>
          <w:lang w:eastAsia="hr-HR"/>
          <w14:ligatures w14:val="none"/>
        </w:rPr>
      </w:pPr>
    </w:p>
    <w:p w14:paraId="60CB2CDE" w14:textId="19BB8EC1" w:rsidR="00320011" w:rsidRPr="00320011" w:rsidRDefault="00320011" w:rsidP="00320011">
      <w:pPr>
        <w:jc w:val="center"/>
        <w:rPr>
          <w:rFonts w:eastAsia="Batang" w:cs="Comic Sans MS"/>
          <w:bCs/>
          <w:color w:val="000000" w:themeColor="text1"/>
          <w:lang w:eastAsia="ko-KR"/>
        </w:rPr>
      </w:pPr>
      <w:r w:rsidRPr="00320011">
        <w:rPr>
          <w:rFonts w:eastAsia="Batang" w:cs="Comic Sans MS"/>
          <w:bCs/>
          <w:color w:val="000000" w:themeColor="text1"/>
          <w:lang w:eastAsia="ko-KR"/>
        </w:rPr>
        <w:t>ODLUKA</w:t>
      </w:r>
    </w:p>
    <w:p w14:paraId="6D851996" w14:textId="77777777" w:rsidR="00320011" w:rsidRPr="00320011" w:rsidRDefault="00320011" w:rsidP="00320011">
      <w:pPr>
        <w:jc w:val="center"/>
        <w:rPr>
          <w:rFonts w:eastAsia="Batang" w:cs="Comic Sans MS"/>
          <w:color w:val="000000" w:themeColor="text1"/>
          <w:lang w:eastAsia="ko-KR"/>
        </w:rPr>
      </w:pPr>
    </w:p>
    <w:p w14:paraId="263380A3" w14:textId="77777777" w:rsidR="00320011" w:rsidRPr="00320011" w:rsidRDefault="00320011" w:rsidP="00320011">
      <w:pPr>
        <w:tabs>
          <w:tab w:val="left" w:pos="3450"/>
        </w:tabs>
        <w:suppressAutoHyphens/>
      </w:pPr>
      <w:r w:rsidRPr="00320011">
        <w:t>Usvaja se IV. izmjena Plana nabave na sljedećim stavkama:</w:t>
      </w:r>
    </w:p>
    <w:tbl>
      <w:tblPr>
        <w:tblW w:w="10632" w:type="dxa"/>
        <w:tblInd w:w="-743" w:type="dxa"/>
        <w:tblLayout w:type="fixed"/>
        <w:tblLook w:val="04A0" w:firstRow="1" w:lastRow="0" w:firstColumn="1" w:lastColumn="0" w:noHBand="0" w:noVBand="1"/>
      </w:tblPr>
      <w:tblGrid>
        <w:gridCol w:w="567"/>
        <w:gridCol w:w="1844"/>
        <w:gridCol w:w="850"/>
        <w:gridCol w:w="1134"/>
        <w:gridCol w:w="851"/>
        <w:gridCol w:w="850"/>
        <w:gridCol w:w="851"/>
        <w:gridCol w:w="992"/>
        <w:gridCol w:w="850"/>
        <w:gridCol w:w="851"/>
        <w:gridCol w:w="992"/>
      </w:tblGrid>
      <w:tr w:rsidR="00320011" w:rsidRPr="00320011" w14:paraId="1E5CDA3C" w14:textId="77777777" w:rsidTr="006006CC">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20DAAB7C" w14:textId="77777777" w:rsidR="00320011" w:rsidRPr="00320011" w:rsidRDefault="00320011" w:rsidP="00320011">
            <w:pPr>
              <w:jc w:val="center"/>
              <w:rPr>
                <w:rFonts w:cs="Calibri"/>
                <w:sz w:val="16"/>
                <w:szCs w:val="16"/>
              </w:rPr>
            </w:pPr>
            <w:r w:rsidRPr="00320011">
              <w:rPr>
                <w:rFonts w:cs="Calibri"/>
                <w:sz w:val="16"/>
                <w:szCs w:val="16"/>
              </w:rPr>
              <w:t xml:space="preserve">Red. broj </w:t>
            </w:r>
          </w:p>
        </w:tc>
        <w:tc>
          <w:tcPr>
            <w:tcW w:w="1844" w:type="dxa"/>
            <w:tcBorders>
              <w:top w:val="single" w:sz="4" w:space="0" w:color="auto"/>
              <w:left w:val="nil"/>
              <w:bottom w:val="single" w:sz="4" w:space="0" w:color="auto"/>
              <w:right w:val="single" w:sz="4" w:space="0" w:color="auto"/>
            </w:tcBorders>
            <w:vAlign w:val="center"/>
            <w:hideMark/>
          </w:tcPr>
          <w:p w14:paraId="7FF16559" w14:textId="77777777" w:rsidR="00320011" w:rsidRPr="00320011" w:rsidRDefault="00320011" w:rsidP="00320011">
            <w:pPr>
              <w:jc w:val="center"/>
              <w:rPr>
                <w:rFonts w:cs="Calibri"/>
                <w:b/>
                <w:bCs/>
                <w:sz w:val="16"/>
                <w:szCs w:val="16"/>
              </w:rPr>
            </w:pPr>
            <w:r w:rsidRPr="00320011">
              <w:rPr>
                <w:rFonts w:cs="Calibri"/>
                <w:b/>
                <w:bCs/>
                <w:sz w:val="16"/>
                <w:szCs w:val="16"/>
              </w:rPr>
              <w:t>Predmet nabave</w:t>
            </w:r>
          </w:p>
        </w:tc>
        <w:tc>
          <w:tcPr>
            <w:tcW w:w="850" w:type="dxa"/>
            <w:tcBorders>
              <w:top w:val="single" w:sz="4" w:space="0" w:color="auto"/>
              <w:left w:val="nil"/>
              <w:bottom w:val="single" w:sz="4" w:space="0" w:color="auto"/>
              <w:right w:val="single" w:sz="4" w:space="0" w:color="auto"/>
            </w:tcBorders>
            <w:vAlign w:val="center"/>
            <w:hideMark/>
          </w:tcPr>
          <w:p w14:paraId="6AC9F51A" w14:textId="77777777" w:rsidR="00320011" w:rsidRPr="00320011" w:rsidRDefault="00320011" w:rsidP="00320011">
            <w:pPr>
              <w:jc w:val="center"/>
              <w:rPr>
                <w:rFonts w:cs="Calibri"/>
                <w:b/>
                <w:bCs/>
                <w:sz w:val="16"/>
                <w:szCs w:val="16"/>
              </w:rPr>
            </w:pPr>
            <w:r w:rsidRPr="00320011">
              <w:rPr>
                <w:rFonts w:cs="Calibri"/>
                <w:b/>
                <w:bCs/>
                <w:sz w:val="16"/>
                <w:szCs w:val="16"/>
              </w:rPr>
              <w:t>Procijenjena vrijednost nabave (u eurima)</w:t>
            </w:r>
          </w:p>
        </w:tc>
        <w:tc>
          <w:tcPr>
            <w:tcW w:w="1134" w:type="dxa"/>
            <w:tcBorders>
              <w:top w:val="single" w:sz="4" w:space="0" w:color="auto"/>
              <w:left w:val="nil"/>
              <w:bottom w:val="single" w:sz="4" w:space="0" w:color="auto"/>
              <w:right w:val="single" w:sz="4" w:space="0" w:color="auto"/>
            </w:tcBorders>
            <w:vAlign w:val="center"/>
            <w:hideMark/>
          </w:tcPr>
          <w:p w14:paraId="60CCC454" w14:textId="77777777" w:rsidR="00320011" w:rsidRPr="00320011" w:rsidRDefault="00320011" w:rsidP="00320011">
            <w:pPr>
              <w:jc w:val="center"/>
              <w:rPr>
                <w:rFonts w:cs="Calibri"/>
                <w:b/>
                <w:bCs/>
                <w:sz w:val="16"/>
                <w:szCs w:val="16"/>
              </w:rPr>
            </w:pPr>
            <w:r w:rsidRPr="00320011">
              <w:rPr>
                <w:rFonts w:cs="Calibri"/>
                <w:b/>
                <w:bCs/>
                <w:sz w:val="16"/>
                <w:szCs w:val="16"/>
              </w:rPr>
              <w:t>Vrsta postupka (uključujući jednostavne nabave)</w:t>
            </w:r>
          </w:p>
        </w:tc>
        <w:tc>
          <w:tcPr>
            <w:tcW w:w="851" w:type="dxa"/>
            <w:tcBorders>
              <w:top w:val="single" w:sz="4" w:space="0" w:color="auto"/>
              <w:left w:val="nil"/>
              <w:bottom w:val="single" w:sz="4" w:space="0" w:color="auto"/>
              <w:right w:val="single" w:sz="4" w:space="0" w:color="auto"/>
            </w:tcBorders>
            <w:vAlign w:val="center"/>
            <w:hideMark/>
          </w:tcPr>
          <w:p w14:paraId="2A94BB49" w14:textId="77777777" w:rsidR="00320011" w:rsidRPr="00320011" w:rsidRDefault="00320011" w:rsidP="00320011">
            <w:pPr>
              <w:jc w:val="center"/>
              <w:rPr>
                <w:rFonts w:cs="Calibri"/>
                <w:b/>
                <w:bCs/>
                <w:sz w:val="16"/>
                <w:szCs w:val="16"/>
              </w:rPr>
            </w:pPr>
            <w:r w:rsidRPr="00320011">
              <w:rPr>
                <w:rFonts w:cs="Calibri"/>
                <w:b/>
                <w:bCs/>
                <w:sz w:val="16"/>
                <w:szCs w:val="16"/>
              </w:rPr>
              <w:t>Evidencijski broj nabave</w:t>
            </w:r>
          </w:p>
        </w:tc>
        <w:tc>
          <w:tcPr>
            <w:tcW w:w="850" w:type="dxa"/>
            <w:tcBorders>
              <w:top w:val="single" w:sz="4" w:space="0" w:color="auto"/>
              <w:left w:val="nil"/>
              <w:bottom w:val="single" w:sz="4" w:space="0" w:color="auto"/>
              <w:right w:val="single" w:sz="4" w:space="0" w:color="auto"/>
            </w:tcBorders>
            <w:vAlign w:val="center"/>
            <w:hideMark/>
          </w:tcPr>
          <w:p w14:paraId="26E1A129" w14:textId="77777777" w:rsidR="00320011" w:rsidRPr="00320011" w:rsidRDefault="00320011" w:rsidP="00320011">
            <w:pPr>
              <w:jc w:val="center"/>
              <w:rPr>
                <w:rFonts w:cs="Calibri"/>
                <w:b/>
                <w:bCs/>
                <w:sz w:val="16"/>
                <w:szCs w:val="16"/>
              </w:rPr>
            </w:pPr>
            <w:r w:rsidRPr="00320011">
              <w:rPr>
                <w:rFonts w:cs="Calibri"/>
                <w:b/>
                <w:bCs/>
                <w:sz w:val="16"/>
                <w:szCs w:val="16"/>
              </w:rPr>
              <w:t>Predmet podijeljen na grupe</w:t>
            </w:r>
          </w:p>
        </w:tc>
        <w:tc>
          <w:tcPr>
            <w:tcW w:w="851" w:type="dxa"/>
            <w:tcBorders>
              <w:top w:val="single" w:sz="4" w:space="0" w:color="auto"/>
              <w:left w:val="nil"/>
              <w:bottom w:val="single" w:sz="4" w:space="0" w:color="auto"/>
              <w:right w:val="single" w:sz="4" w:space="0" w:color="auto"/>
            </w:tcBorders>
            <w:vAlign w:val="center"/>
            <w:hideMark/>
          </w:tcPr>
          <w:p w14:paraId="38F059DE" w14:textId="77777777" w:rsidR="00320011" w:rsidRPr="00320011" w:rsidRDefault="00320011" w:rsidP="00320011">
            <w:pPr>
              <w:jc w:val="center"/>
              <w:rPr>
                <w:rFonts w:cs="Calibri"/>
                <w:b/>
                <w:bCs/>
                <w:sz w:val="16"/>
                <w:szCs w:val="16"/>
              </w:rPr>
            </w:pPr>
            <w:r w:rsidRPr="00320011">
              <w:rPr>
                <w:rFonts w:cs="Calibri"/>
                <w:b/>
                <w:bCs/>
                <w:sz w:val="16"/>
                <w:szCs w:val="16"/>
              </w:rPr>
              <w:t>Sklapa se Ugovor /okvirni sporazum</w:t>
            </w:r>
          </w:p>
        </w:tc>
        <w:tc>
          <w:tcPr>
            <w:tcW w:w="992" w:type="dxa"/>
            <w:tcBorders>
              <w:top w:val="single" w:sz="4" w:space="0" w:color="auto"/>
              <w:left w:val="nil"/>
              <w:bottom w:val="single" w:sz="4" w:space="0" w:color="auto"/>
              <w:right w:val="single" w:sz="4" w:space="0" w:color="auto"/>
            </w:tcBorders>
            <w:vAlign w:val="center"/>
            <w:hideMark/>
          </w:tcPr>
          <w:p w14:paraId="77B4676C" w14:textId="77777777" w:rsidR="00320011" w:rsidRPr="00320011" w:rsidRDefault="00320011" w:rsidP="00320011">
            <w:pPr>
              <w:jc w:val="center"/>
              <w:rPr>
                <w:rFonts w:cs="Calibri"/>
                <w:b/>
                <w:bCs/>
                <w:sz w:val="16"/>
                <w:szCs w:val="16"/>
              </w:rPr>
            </w:pPr>
            <w:r w:rsidRPr="00320011">
              <w:rPr>
                <w:rFonts w:cs="Calibri"/>
                <w:b/>
                <w:bCs/>
                <w:sz w:val="16"/>
                <w:szCs w:val="16"/>
              </w:rPr>
              <w:t>Ugovor/okvirni sporazum se financira iz fondova EU</w:t>
            </w:r>
          </w:p>
        </w:tc>
        <w:tc>
          <w:tcPr>
            <w:tcW w:w="850" w:type="dxa"/>
            <w:tcBorders>
              <w:top w:val="single" w:sz="4" w:space="0" w:color="auto"/>
              <w:left w:val="nil"/>
              <w:bottom w:val="single" w:sz="4" w:space="0" w:color="auto"/>
              <w:right w:val="single" w:sz="4" w:space="0" w:color="auto"/>
            </w:tcBorders>
            <w:vAlign w:val="center"/>
            <w:hideMark/>
          </w:tcPr>
          <w:p w14:paraId="5EF088E7" w14:textId="77777777" w:rsidR="00320011" w:rsidRPr="00320011" w:rsidRDefault="00320011" w:rsidP="00320011">
            <w:pPr>
              <w:jc w:val="center"/>
              <w:rPr>
                <w:rFonts w:cs="Calibri"/>
                <w:b/>
                <w:bCs/>
                <w:sz w:val="16"/>
                <w:szCs w:val="16"/>
              </w:rPr>
            </w:pPr>
            <w:r w:rsidRPr="00320011">
              <w:rPr>
                <w:rFonts w:cs="Calibri"/>
                <w:b/>
                <w:bCs/>
                <w:sz w:val="16"/>
                <w:szCs w:val="16"/>
              </w:rPr>
              <w:t>Planirani početak postupka</w:t>
            </w:r>
          </w:p>
        </w:tc>
        <w:tc>
          <w:tcPr>
            <w:tcW w:w="851" w:type="dxa"/>
            <w:tcBorders>
              <w:top w:val="single" w:sz="4" w:space="0" w:color="auto"/>
              <w:left w:val="nil"/>
              <w:bottom w:val="single" w:sz="4" w:space="0" w:color="auto"/>
              <w:right w:val="single" w:sz="4" w:space="0" w:color="auto"/>
            </w:tcBorders>
            <w:vAlign w:val="center"/>
            <w:hideMark/>
          </w:tcPr>
          <w:p w14:paraId="4CC0EAB2" w14:textId="77777777" w:rsidR="00320011" w:rsidRPr="00320011" w:rsidRDefault="00320011" w:rsidP="00320011">
            <w:pPr>
              <w:jc w:val="center"/>
              <w:rPr>
                <w:rFonts w:cs="Calibri"/>
                <w:b/>
                <w:bCs/>
                <w:sz w:val="16"/>
                <w:szCs w:val="16"/>
              </w:rPr>
            </w:pPr>
            <w:r w:rsidRPr="00320011">
              <w:rPr>
                <w:rFonts w:cs="Calibri"/>
                <w:b/>
                <w:bCs/>
                <w:sz w:val="16"/>
                <w:szCs w:val="16"/>
              </w:rPr>
              <w:t>Planirano trajanje ugovora ili okvirnog sporazuma</w:t>
            </w:r>
          </w:p>
        </w:tc>
        <w:tc>
          <w:tcPr>
            <w:tcW w:w="992" w:type="dxa"/>
            <w:tcBorders>
              <w:top w:val="single" w:sz="4" w:space="0" w:color="auto"/>
              <w:left w:val="nil"/>
              <w:bottom w:val="single" w:sz="4" w:space="0" w:color="auto"/>
              <w:right w:val="single" w:sz="4" w:space="0" w:color="auto"/>
            </w:tcBorders>
            <w:noWrap/>
            <w:vAlign w:val="center"/>
            <w:hideMark/>
          </w:tcPr>
          <w:p w14:paraId="1FF89445" w14:textId="77777777" w:rsidR="00320011" w:rsidRPr="00320011" w:rsidRDefault="00320011" w:rsidP="00320011">
            <w:pPr>
              <w:jc w:val="center"/>
              <w:rPr>
                <w:rFonts w:cs="Calibri"/>
                <w:b/>
                <w:bCs/>
                <w:sz w:val="16"/>
                <w:szCs w:val="16"/>
              </w:rPr>
            </w:pPr>
            <w:r w:rsidRPr="00320011">
              <w:rPr>
                <w:rFonts w:cs="Calibri"/>
                <w:b/>
                <w:bCs/>
                <w:sz w:val="16"/>
                <w:szCs w:val="16"/>
              </w:rPr>
              <w:t>Napomena</w:t>
            </w:r>
          </w:p>
        </w:tc>
      </w:tr>
      <w:tr w:rsidR="00320011" w:rsidRPr="00320011" w14:paraId="6CB00DEE" w14:textId="77777777" w:rsidTr="006006CC">
        <w:trPr>
          <w:trHeight w:val="495"/>
        </w:trPr>
        <w:tc>
          <w:tcPr>
            <w:tcW w:w="567" w:type="dxa"/>
            <w:tcBorders>
              <w:top w:val="nil"/>
              <w:left w:val="single" w:sz="4" w:space="0" w:color="auto"/>
              <w:bottom w:val="single" w:sz="4" w:space="0" w:color="auto"/>
              <w:right w:val="single" w:sz="4" w:space="0" w:color="auto"/>
            </w:tcBorders>
            <w:vAlign w:val="center"/>
            <w:hideMark/>
          </w:tcPr>
          <w:p w14:paraId="6B2CE7FE" w14:textId="77777777" w:rsidR="00320011" w:rsidRPr="00320011" w:rsidRDefault="00320011" w:rsidP="00320011">
            <w:pPr>
              <w:jc w:val="center"/>
              <w:rPr>
                <w:rFonts w:cs="Calibri"/>
                <w:sz w:val="16"/>
                <w:szCs w:val="16"/>
              </w:rPr>
            </w:pPr>
            <w:r w:rsidRPr="00320011">
              <w:rPr>
                <w:rFonts w:cs="Calibri"/>
                <w:sz w:val="16"/>
                <w:szCs w:val="16"/>
              </w:rPr>
              <w:t>1</w:t>
            </w:r>
          </w:p>
        </w:tc>
        <w:tc>
          <w:tcPr>
            <w:tcW w:w="1844" w:type="dxa"/>
            <w:tcBorders>
              <w:top w:val="nil"/>
              <w:left w:val="nil"/>
              <w:bottom w:val="single" w:sz="4" w:space="0" w:color="auto"/>
              <w:right w:val="single" w:sz="4" w:space="0" w:color="auto"/>
            </w:tcBorders>
            <w:vAlign w:val="center"/>
            <w:hideMark/>
          </w:tcPr>
          <w:p w14:paraId="34CCDDF4" w14:textId="77777777" w:rsidR="00320011" w:rsidRPr="00320011" w:rsidRDefault="00320011" w:rsidP="00320011">
            <w:pPr>
              <w:rPr>
                <w:rFonts w:cs="Calibri"/>
                <w:sz w:val="16"/>
                <w:szCs w:val="16"/>
              </w:rPr>
            </w:pPr>
            <w:r w:rsidRPr="00320011">
              <w:rPr>
                <w:rFonts w:cs="Calibri"/>
                <w:sz w:val="16"/>
                <w:szCs w:val="16"/>
              </w:rPr>
              <w:t>Kompresor za rad uređaja za raspodjelu jedinične terapije</w:t>
            </w:r>
          </w:p>
        </w:tc>
        <w:tc>
          <w:tcPr>
            <w:tcW w:w="850" w:type="dxa"/>
            <w:tcBorders>
              <w:top w:val="nil"/>
              <w:left w:val="nil"/>
              <w:bottom w:val="single" w:sz="4" w:space="0" w:color="auto"/>
              <w:right w:val="single" w:sz="4" w:space="0" w:color="auto"/>
            </w:tcBorders>
            <w:vAlign w:val="center"/>
            <w:hideMark/>
          </w:tcPr>
          <w:p w14:paraId="326BBC06" w14:textId="77777777" w:rsidR="00320011" w:rsidRPr="00320011" w:rsidRDefault="00320011" w:rsidP="00320011">
            <w:pPr>
              <w:jc w:val="right"/>
              <w:rPr>
                <w:rFonts w:cs="Calibri"/>
                <w:sz w:val="16"/>
                <w:szCs w:val="16"/>
              </w:rPr>
            </w:pPr>
            <w:r w:rsidRPr="00320011">
              <w:rPr>
                <w:rFonts w:cs="Calibri"/>
                <w:sz w:val="16"/>
                <w:szCs w:val="16"/>
              </w:rPr>
              <w:t>6.400,00</w:t>
            </w:r>
          </w:p>
        </w:tc>
        <w:tc>
          <w:tcPr>
            <w:tcW w:w="1134" w:type="dxa"/>
            <w:tcBorders>
              <w:top w:val="nil"/>
              <w:left w:val="nil"/>
              <w:bottom w:val="single" w:sz="4" w:space="0" w:color="auto"/>
              <w:right w:val="single" w:sz="4" w:space="0" w:color="auto"/>
            </w:tcBorders>
            <w:vAlign w:val="center"/>
            <w:hideMark/>
          </w:tcPr>
          <w:p w14:paraId="6A18F89C" w14:textId="77777777" w:rsidR="00320011" w:rsidRPr="00320011" w:rsidRDefault="00320011" w:rsidP="00320011">
            <w:pPr>
              <w:rPr>
                <w:rFonts w:cs="Calibri"/>
                <w:sz w:val="16"/>
                <w:szCs w:val="16"/>
              </w:rPr>
            </w:pPr>
            <w:r w:rsidRPr="00320011">
              <w:rPr>
                <w:rFonts w:cs="Calibri"/>
                <w:sz w:val="16"/>
                <w:szCs w:val="16"/>
              </w:rPr>
              <w:t>Jednostavna nabava</w:t>
            </w:r>
          </w:p>
        </w:tc>
        <w:tc>
          <w:tcPr>
            <w:tcW w:w="851" w:type="dxa"/>
            <w:tcBorders>
              <w:top w:val="nil"/>
              <w:left w:val="nil"/>
              <w:bottom w:val="single" w:sz="4" w:space="0" w:color="auto"/>
              <w:right w:val="single" w:sz="4" w:space="0" w:color="auto"/>
            </w:tcBorders>
            <w:vAlign w:val="center"/>
            <w:hideMark/>
          </w:tcPr>
          <w:p w14:paraId="5B066EFB" w14:textId="77777777" w:rsidR="00320011" w:rsidRPr="00320011" w:rsidRDefault="00320011" w:rsidP="00320011">
            <w:pPr>
              <w:jc w:val="center"/>
              <w:rPr>
                <w:rFonts w:cs="Calibri"/>
                <w:sz w:val="16"/>
                <w:szCs w:val="16"/>
              </w:rPr>
            </w:pPr>
            <w:r w:rsidRPr="00320011">
              <w:rPr>
                <w:rFonts w:cs="Calibri"/>
                <w:sz w:val="16"/>
                <w:szCs w:val="16"/>
              </w:rPr>
              <w:t>JNT 77/25</w:t>
            </w:r>
          </w:p>
        </w:tc>
        <w:tc>
          <w:tcPr>
            <w:tcW w:w="850" w:type="dxa"/>
            <w:tcBorders>
              <w:top w:val="nil"/>
              <w:left w:val="nil"/>
              <w:bottom w:val="single" w:sz="4" w:space="0" w:color="auto"/>
              <w:right w:val="single" w:sz="4" w:space="0" w:color="auto"/>
            </w:tcBorders>
            <w:vAlign w:val="center"/>
            <w:hideMark/>
          </w:tcPr>
          <w:p w14:paraId="20DC8C1F" w14:textId="77777777" w:rsidR="00320011" w:rsidRPr="00320011" w:rsidRDefault="00320011" w:rsidP="00320011">
            <w:pPr>
              <w:jc w:val="center"/>
              <w:rPr>
                <w:rFonts w:cs="Calibri"/>
                <w:sz w:val="16"/>
                <w:szCs w:val="16"/>
              </w:rPr>
            </w:pPr>
            <w:r w:rsidRPr="00320011">
              <w:rPr>
                <w:rFonts w:cs="Calibri"/>
                <w:sz w:val="16"/>
                <w:szCs w:val="16"/>
              </w:rPr>
              <w:t>NE</w:t>
            </w:r>
          </w:p>
        </w:tc>
        <w:tc>
          <w:tcPr>
            <w:tcW w:w="851" w:type="dxa"/>
            <w:tcBorders>
              <w:top w:val="nil"/>
              <w:left w:val="nil"/>
              <w:bottom w:val="single" w:sz="4" w:space="0" w:color="auto"/>
              <w:right w:val="single" w:sz="4" w:space="0" w:color="auto"/>
            </w:tcBorders>
            <w:vAlign w:val="center"/>
            <w:hideMark/>
          </w:tcPr>
          <w:p w14:paraId="47F83B2E" w14:textId="77777777" w:rsidR="00320011" w:rsidRPr="00320011" w:rsidRDefault="00320011" w:rsidP="00320011">
            <w:pPr>
              <w:rPr>
                <w:rFonts w:cs="Calibri"/>
                <w:sz w:val="16"/>
                <w:szCs w:val="16"/>
              </w:rPr>
            </w:pPr>
            <w:r w:rsidRPr="00320011">
              <w:rPr>
                <w:rFonts w:cs="Calibri"/>
                <w:sz w:val="16"/>
                <w:szCs w:val="16"/>
              </w:rPr>
              <w:t>Ugovor</w:t>
            </w:r>
          </w:p>
        </w:tc>
        <w:tc>
          <w:tcPr>
            <w:tcW w:w="992" w:type="dxa"/>
            <w:tcBorders>
              <w:top w:val="nil"/>
              <w:left w:val="nil"/>
              <w:bottom w:val="single" w:sz="4" w:space="0" w:color="auto"/>
              <w:right w:val="single" w:sz="4" w:space="0" w:color="auto"/>
            </w:tcBorders>
            <w:shd w:val="clear" w:color="000000" w:fill="FFFFFF"/>
            <w:vAlign w:val="center"/>
            <w:hideMark/>
          </w:tcPr>
          <w:p w14:paraId="19033D36" w14:textId="77777777" w:rsidR="00320011" w:rsidRPr="00320011" w:rsidRDefault="00320011" w:rsidP="00320011">
            <w:pPr>
              <w:jc w:val="center"/>
              <w:rPr>
                <w:rFonts w:cs="Calibri"/>
                <w:sz w:val="16"/>
                <w:szCs w:val="16"/>
              </w:rPr>
            </w:pPr>
            <w:r w:rsidRPr="00320011">
              <w:rPr>
                <w:rFonts w:cs="Calibri"/>
                <w:sz w:val="16"/>
                <w:szCs w:val="16"/>
              </w:rPr>
              <w:t>NE</w:t>
            </w:r>
          </w:p>
        </w:tc>
        <w:tc>
          <w:tcPr>
            <w:tcW w:w="850" w:type="dxa"/>
            <w:tcBorders>
              <w:top w:val="nil"/>
              <w:left w:val="nil"/>
              <w:bottom w:val="single" w:sz="4" w:space="0" w:color="auto"/>
              <w:right w:val="single" w:sz="4" w:space="0" w:color="auto"/>
            </w:tcBorders>
            <w:vAlign w:val="center"/>
            <w:hideMark/>
          </w:tcPr>
          <w:p w14:paraId="2C5010DE" w14:textId="77777777" w:rsidR="00320011" w:rsidRPr="00320011" w:rsidRDefault="00320011" w:rsidP="00320011">
            <w:pPr>
              <w:jc w:val="center"/>
              <w:rPr>
                <w:rFonts w:cs="Calibri"/>
                <w:sz w:val="16"/>
                <w:szCs w:val="16"/>
              </w:rPr>
            </w:pPr>
            <w:r w:rsidRPr="00320011">
              <w:rPr>
                <w:rFonts w:cs="Calibri"/>
                <w:sz w:val="16"/>
                <w:szCs w:val="16"/>
              </w:rPr>
              <w:t>2025</w:t>
            </w:r>
          </w:p>
        </w:tc>
        <w:tc>
          <w:tcPr>
            <w:tcW w:w="851" w:type="dxa"/>
            <w:tcBorders>
              <w:top w:val="nil"/>
              <w:left w:val="nil"/>
              <w:bottom w:val="single" w:sz="4" w:space="0" w:color="auto"/>
              <w:right w:val="single" w:sz="4" w:space="0" w:color="auto"/>
            </w:tcBorders>
            <w:vAlign w:val="center"/>
            <w:hideMark/>
          </w:tcPr>
          <w:p w14:paraId="16A3DCBB" w14:textId="77777777" w:rsidR="00320011" w:rsidRPr="00320011" w:rsidRDefault="00320011" w:rsidP="00320011">
            <w:pPr>
              <w:jc w:val="center"/>
              <w:rPr>
                <w:rFonts w:cs="Calibri"/>
                <w:sz w:val="16"/>
                <w:szCs w:val="16"/>
              </w:rPr>
            </w:pPr>
          </w:p>
        </w:tc>
        <w:tc>
          <w:tcPr>
            <w:tcW w:w="992" w:type="dxa"/>
            <w:tcBorders>
              <w:top w:val="nil"/>
              <w:left w:val="nil"/>
              <w:bottom w:val="single" w:sz="4" w:space="0" w:color="auto"/>
              <w:right w:val="single" w:sz="4" w:space="0" w:color="auto"/>
            </w:tcBorders>
            <w:noWrap/>
            <w:vAlign w:val="bottom"/>
            <w:hideMark/>
          </w:tcPr>
          <w:p w14:paraId="2757C1BC" w14:textId="77777777" w:rsidR="00320011" w:rsidRPr="00320011" w:rsidRDefault="00320011" w:rsidP="00320011">
            <w:pPr>
              <w:jc w:val="center"/>
              <w:rPr>
                <w:rFonts w:cs="Calibri"/>
                <w:sz w:val="16"/>
                <w:szCs w:val="16"/>
              </w:rPr>
            </w:pPr>
            <w:r w:rsidRPr="00320011">
              <w:rPr>
                <w:rFonts w:cs="Calibri"/>
                <w:sz w:val="16"/>
                <w:szCs w:val="16"/>
              </w:rPr>
              <w:t>Dodaje se</w:t>
            </w:r>
          </w:p>
        </w:tc>
      </w:tr>
      <w:tr w:rsidR="00320011" w:rsidRPr="00320011" w14:paraId="0A7A13DA" w14:textId="77777777" w:rsidTr="006006CC">
        <w:trPr>
          <w:trHeight w:val="510"/>
        </w:trPr>
        <w:tc>
          <w:tcPr>
            <w:tcW w:w="567" w:type="dxa"/>
            <w:tcBorders>
              <w:top w:val="nil"/>
              <w:left w:val="single" w:sz="4" w:space="0" w:color="auto"/>
              <w:bottom w:val="single" w:sz="4" w:space="0" w:color="auto"/>
              <w:right w:val="single" w:sz="4" w:space="0" w:color="auto"/>
            </w:tcBorders>
            <w:vAlign w:val="center"/>
            <w:hideMark/>
          </w:tcPr>
          <w:p w14:paraId="39134BFD" w14:textId="77777777" w:rsidR="00320011" w:rsidRPr="00320011" w:rsidRDefault="00320011" w:rsidP="00320011">
            <w:pPr>
              <w:jc w:val="center"/>
              <w:rPr>
                <w:rFonts w:cs="Calibri"/>
                <w:sz w:val="16"/>
                <w:szCs w:val="16"/>
              </w:rPr>
            </w:pPr>
            <w:r w:rsidRPr="00320011">
              <w:rPr>
                <w:rFonts w:cs="Calibri"/>
                <w:sz w:val="16"/>
                <w:szCs w:val="16"/>
              </w:rPr>
              <w:t>2</w:t>
            </w:r>
          </w:p>
        </w:tc>
        <w:tc>
          <w:tcPr>
            <w:tcW w:w="1844" w:type="dxa"/>
            <w:tcBorders>
              <w:top w:val="nil"/>
              <w:left w:val="nil"/>
              <w:bottom w:val="single" w:sz="4" w:space="0" w:color="auto"/>
              <w:right w:val="single" w:sz="4" w:space="0" w:color="auto"/>
            </w:tcBorders>
            <w:vAlign w:val="center"/>
            <w:hideMark/>
          </w:tcPr>
          <w:p w14:paraId="3456EB5F" w14:textId="77777777" w:rsidR="00320011" w:rsidRPr="00320011" w:rsidRDefault="00320011" w:rsidP="00320011">
            <w:pPr>
              <w:rPr>
                <w:rFonts w:cs="Calibri"/>
                <w:sz w:val="16"/>
                <w:szCs w:val="16"/>
              </w:rPr>
            </w:pPr>
            <w:r w:rsidRPr="00320011">
              <w:rPr>
                <w:rFonts w:cs="Calibri"/>
                <w:sz w:val="16"/>
                <w:szCs w:val="16"/>
              </w:rPr>
              <w:t>Nadogradnja laboratorijskog informacijskog sustava i povezivanje s novim bolničkim informacijskim sustavom</w:t>
            </w:r>
          </w:p>
        </w:tc>
        <w:tc>
          <w:tcPr>
            <w:tcW w:w="850" w:type="dxa"/>
            <w:tcBorders>
              <w:top w:val="nil"/>
              <w:left w:val="nil"/>
              <w:bottom w:val="single" w:sz="4" w:space="0" w:color="auto"/>
              <w:right w:val="single" w:sz="4" w:space="0" w:color="auto"/>
            </w:tcBorders>
            <w:noWrap/>
            <w:vAlign w:val="center"/>
            <w:hideMark/>
          </w:tcPr>
          <w:p w14:paraId="059079C7" w14:textId="77777777" w:rsidR="00320011" w:rsidRPr="00320011" w:rsidRDefault="00320011" w:rsidP="00320011">
            <w:pPr>
              <w:jc w:val="right"/>
              <w:rPr>
                <w:rFonts w:cs="Calibri"/>
                <w:sz w:val="16"/>
                <w:szCs w:val="16"/>
              </w:rPr>
            </w:pPr>
            <w:r w:rsidRPr="00320011">
              <w:rPr>
                <w:rFonts w:cs="Calibri"/>
                <w:sz w:val="16"/>
                <w:szCs w:val="16"/>
              </w:rPr>
              <w:t>14.000,00</w:t>
            </w:r>
          </w:p>
        </w:tc>
        <w:tc>
          <w:tcPr>
            <w:tcW w:w="1134" w:type="dxa"/>
            <w:tcBorders>
              <w:top w:val="nil"/>
              <w:left w:val="nil"/>
              <w:bottom w:val="single" w:sz="4" w:space="0" w:color="auto"/>
              <w:right w:val="single" w:sz="4" w:space="0" w:color="auto"/>
            </w:tcBorders>
            <w:vAlign w:val="center"/>
            <w:hideMark/>
          </w:tcPr>
          <w:p w14:paraId="129C67BD" w14:textId="77777777" w:rsidR="00320011" w:rsidRPr="00320011" w:rsidRDefault="00320011" w:rsidP="00320011">
            <w:pPr>
              <w:rPr>
                <w:rFonts w:cs="Calibri"/>
                <w:sz w:val="16"/>
                <w:szCs w:val="16"/>
              </w:rPr>
            </w:pPr>
            <w:r w:rsidRPr="00320011">
              <w:rPr>
                <w:rFonts w:cs="Calibri"/>
                <w:sz w:val="16"/>
                <w:szCs w:val="16"/>
              </w:rPr>
              <w:t>Jednostavna nabava</w:t>
            </w:r>
          </w:p>
        </w:tc>
        <w:tc>
          <w:tcPr>
            <w:tcW w:w="851" w:type="dxa"/>
            <w:tcBorders>
              <w:top w:val="nil"/>
              <w:left w:val="nil"/>
              <w:bottom w:val="single" w:sz="4" w:space="0" w:color="auto"/>
              <w:right w:val="single" w:sz="4" w:space="0" w:color="auto"/>
            </w:tcBorders>
            <w:vAlign w:val="center"/>
            <w:hideMark/>
          </w:tcPr>
          <w:p w14:paraId="15448A17" w14:textId="77777777" w:rsidR="00320011" w:rsidRPr="00320011" w:rsidRDefault="00320011" w:rsidP="00320011">
            <w:pPr>
              <w:jc w:val="center"/>
              <w:rPr>
                <w:rFonts w:cs="Calibri"/>
                <w:sz w:val="16"/>
                <w:szCs w:val="16"/>
              </w:rPr>
            </w:pPr>
            <w:r w:rsidRPr="00320011">
              <w:rPr>
                <w:rFonts w:cs="Calibri"/>
                <w:sz w:val="16"/>
                <w:szCs w:val="16"/>
              </w:rPr>
              <w:t>JNU 38/25</w:t>
            </w:r>
          </w:p>
        </w:tc>
        <w:tc>
          <w:tcPr>
            <w:tcW w:w="850" w:type="dxa"/>
            <w:tcBorders>
              <w:top w:val="nil"/>
              <w:left w:val="nil"/>
              <w:bottom w:val="single" w:sz="4" w:space="0" w:color="auto"/>
              <w:right w:val="single" w:sz="4" w:space="0" w:color="auto"/>
            </w:tcBorders>
            <w:vAlign w:val="center"/>
            <w:hideMark/>
          </w:tcPr>
          <w:p w14:paraId="01725253" w14:textId="77777777" w:rsidR="00320011" w:rsidRPr="00320011" w:rsidRDefault="00320011" w:rsidP="00320011">
            <w:pPr>
              <w:jc w:val="center"/>
              <w:rPr>
                <w:rFonts w:cs="Calibri"/>
                <w:sz w:val="16"/>
                <w:szCs w:val="16"/>
              </w:rPr>
            </w:pPr>
            <w:r w:rsidRPr="00320011">
              <w:rPr>
                <w:rFonts w:cs="Calibri"/>
                <w:sz w:val="16"/>
                <w:szCs w:val="16"/>
              </w:rPr>
              <w:t>NE</w:t>
            </w:r>
          </w:p>
        </w:tc>
        <w:tc>
          <w:tcPr>
            <w:tcW w:w="851" w:type="dxa"/>
            <w:tcBorders>
              <w:top w:val="nil"/>
              <w:left w:val="nil"/>
              <w:bottom w:val="single" w:sz="4" w:space="0" w:color="auto"/>
              <w:right w:val="single" w:sz="4" w:space="0" w:color="auto"/>
            </w:tcBorders>
            <w:shd w:val="clear" w:color="000000" w:fill="FFFFFF"/>
            <w:vAlign w:val="center"/>
            <w:hideMark/>
          </w:tcPr>
          <w:p w14:paraId="19CCF5F3" w14:textId="77777777" w:rsidR="00320011" w:rsidRPr="00320011" w:rsidRDefault="00320011" w:rsidP="00320011">
            <w:pPr>
              <w:rPr>
                <w:rFonts w:cs="Calibri"/>
                <w:sz w:val="16"/>
                <w:szCs w:val="16"/>
              </w:rPr>
            </w:pPr>
            <w:r w:rsidRPr="00320011">
              <w:rPr>
                <w:rFonts w:cs="Calibri"/>
                <w:sz w:val="16"/>
                <w:szCs w:val="16"/>
              </w:rPr>
              <w:t>Ugovor</w:t>
            </w:r>
          </w:p>
        </w:tc>
        <w:tc>
          <w:tcPr>
            <w:tcW w:w="992" w:type="dxa"/>
            <w:tcBorders>
              <w:top w:val="nil"/>
              <w:left w:val="nil"/>
              <w:bottom w:val="single" w:sz="4" w:space="0" w:color="auto"/>
              <w:right w:val="single" w:sz="4" w:space="0" w:color="auto"/>
            </w:tcBorders>
            <w:shd w:val="clear" w:color="000000" w:fill="FFFFFF"/>
            <w:vAlign w:val="center"/>
            <w:hideMark/>
          </w:tcPr>
          <w:p w14:paraId="67041CCE" w14:textId="77777777" w:rsidR="00320011" w:rsidRPr="00320011" w:rsidRDefault="00320011" w:rsidP="00320011">
            <w:pPr>
              <w:jc w:val="center"/>
              <w:rPr>
                <w:rFonts w:cs="Calibri"/>
                <w:sz w:val="16"/>
                <w:szCs w:val="16"/>
              </w:rPr>
            </w:pPr>
            <w:r w:rsidRPr="00320011">
              <w:rPr>
                <w:rFonts w:cs="Calibri"/>
                <w:sz w:val="16"/>
                <w:szCs w:val="16"/>
              </w:rPr>
              <w:t>NE</w:t>
            </w:r>
          </w:p>
        </w:tc>
        <w:tc>
          <w:tcPr>
            <w:tcW w:w="850" w:type="dxa"/>
            <w:tcBorders>
              <w:top w:val="nil"/>
              <w:left w:val="nil"/>
              <w:bottom w:val="single" w:sz="4" w:space="0" w:color="auto"/>
              <w:right w:val="single" w:sz="4" w:space="0" w:color="auto"/>
            </w:tcBorders>
            <w:vAlign w:val="center"/>
            <w:hideMark/>
          </w:tcPr>
          <w:p w14:paraId="23D1F2A7" w14:textId="77777777" w:rsidR="00320011" w:rsidRPr="00320011" w:rsidRDefault="00320011" w:rsidP="00320011">
            <w:pPr>
              <w:jc w:val="center"/>
              <w:rPr>
                <w:rFonts w:cs="Calibri"/>
                <w:sz w:val="16"/>
                <w:szCs w:val="16"/>
              </w:rPr>
            </w:pPr>
            <w:r w:rsidRPr="00320011">
              <w:rPr>
                <w:rFonts w:cs="Calibri"/>
                <w:sz w:val="16"/>
                <w:szCs w:val="16"/>
              </w:rPr>
              <w:t>2025</w:t>
            </w:r>
          </w:p>
        </w:tc>
        <w:tc>
          <w:tcPr>
            <w:tcW w:w="851" w:type="dxa"/>
            <w:tcBorders>
              <w:top w:val="nil"/>
              <w:left w:val="nil"/>
              <w:bottom w:val="single" w:sz="4" w:space="0" w:color="auto"/>
              <w:right w:val="single" w:sz="4" w:space="0" w:color="auto"/>
            </w:tcBorders>
            <w:noWrap/>
            <w:vAlign w:val="center"/>
            <w:hideMark/>
          </w:tcPr>
          <w:p w14:paraId="4856AA5D" w14:textId="77777777" w:rsidR="00320011" w:rsidRPr="00320011" w:rsidRDefault="00320011" w:rsidP="00320011">
            <w:pPr>
              <w:jc w:val="center"/>
              <w:rPr>
                <w:rFonts w:cs="Calibri"/>
                <w:sz w:val="16"/>
                <w:szCs w:val="16"/>
              </w:rPr>
            </w:pPr>
          </w:p>
        </w:tc>
        <w:tc>
          <w:tcPr>
            <w:tcW w:w="992" w:type="dxa"/>
            <w:tcBorders>
              <w:top w:val="nil"/>
              <w:left w:val="nil"/>
              <w:bottom w:val="single" w:sz="4" w:space="0" w:color="auto"/>
              <w:right w:val="single" w:sz="4" w:space="0" w:color="auto"/>
            </w:tcBorders>
            <w:vAlign w:val="bottom"/>
            <w:hideMark/>
          </w:tcPr>
          <w:p w14:paraId="3FD28661" w14:textId="77777777" w:rsidR="00320011" w:rsidRPr="00320011" w:rsidRDefault="00320011" w:rsidP="00320011">
            <w:pPr>
              <w:jc w:val="center"/>
              <w:rPr>
                <w:rFonts w:cs="Calibri"/>
                <w:sz w:val="16"/>
                <w:szCs w:val="16"/>
              </w:rPr>
            </w:pPr>
            <w:r w:rsidRPr="00320011">
              <w:rPr>
                <w:rFonts w:cs="Calibri"/>
                <w:sz w:val="16"/>
                <w:szCs w:val="16"/>
              </w:rPr>
              <w:t>Dodaje se (financijski plan 3238)</w:t>
            </w:r>
          </w:p>
        </w:tc>
      </w:tr>
      <w:tr w:rsidR="00320011" w:rsidRPr="00320011" w14:paraId="750FF022" w14:textId="77777777" w:rsidTr="006006CC">
        <w:trPr>
          <w:trHeight w:val="510"/>
        </w:trPr>
        <w:tc>
          <w:tcPr>
            <w:tcW w:w="567" w:type="dxa"/>
            <w:tcBorders>
              <w:top w:val="nil"/>
              <w:left w:val="single" w:sz="4" w:space="0" w:color="auto"/>
              <w:bottom w:val="single" w:sz="4" w:space="0" w:color="auto"/>
              <w:right w:val="single" w:sz="4" w:space="0" w:color="auto"/>
            </w:tcBorders>
            <w:vAlign w:val="center"/>
            <w:hideMark/>
          </w:tcPr>
          <w:p w14:paraId="08585928" w14:textId="77777777" w:rsidR="00320011" w:rsidRPr="00320011" w:rsidRDefault="00320011" w:rsidP="00320011">
            <w:pPr>
              <w:jc w:val="center"/>
              <w:rPr>
                <w:rFonts w:cs="Calibri"/>
                <w:sz w:val="16"/>
                <w:szCs w:val="16"/>
              </w:rPr>
            </w:pPr>
            <w:r w:rsidRPr="00320011">
              <w:rPr>
                <w:rFonts w:cs="Calibri"/>
                <w:sz w:val="16"/>
                <w:szCs w:val="16"/>
              </w:rPr>
              <w:lastRenderedPageBreak/>
              <w:t>3</w:t>
            </w:r>
          </w:p>
        </w:tc>
        <w:tc>
          <w:tcPr>
            <w:tcW w:w="1844" w:type="dxa"/>
            <w:tcBorders>
              <w:top w:val="nil"/>
              <w:left w:val="nil"/>
              <w:bottom w:val="single" w:sz="4" w:space="0" w:color="auto"/>
              <w:right w:val="single" w:sz="4" w:space="0" w:color="auto"/>
            </w:tcBorders>
            <w:vAlign w:val="center"/>
            <w:hideMark/>
          </w:tcPr>
          <w:p w14:paraId="40610788" w14:textId="77777777" w:rsidR="00320011" w:rsidRPr="00320011" w:rsidRDefault="00320011" w:rsidP="00320011">
            <w:pPr>
              <w:rPr>
                <w:rFonts w:cs="Calibri"/>
                <w:sz w:val="16"/>
                <w:szCs w:val="16"/>
              </w:rPr>
            </w:pPr>
            <w:r w:rsidRPr="00320011">
              <w:rPr>
                <w:rFonts w:cs="Calibri"/>
                <w:sz w:val="16"/>
                <w:szCs w:val="16"/>
              </w:rPr>
              <w:t>Usluga smještaja i najam konferencijske dvorane za potrebe održavanja edukacija u sklopu akcijskog plana za prevenciju i suzbijanje seksualnog nasilja</w:t>
            </w:r>
          </w:p>
        </w:tc>
        <w:tc>
          <w:tcPr>
            <w:tcW w:w="850" w:type="dxa"/>
            <w:tcBorders>
              <w:top w:val="nil"/>
              <w:left w:val="nil"/>
              <w:bottom w:val="single" w:sz="4" w:space="0" w:color="auto"/>
              <w:right w:val="single" w:sz="4" w:space="0" w:color="auto"/>
            </w:tcBorders>
            <w:noWrap/>
            <w:vAlign w:val="center"/>
            <w:hideMark/>
          </w:tcPr>
          <w:p w14:paraId="656AC87E" w14:textId="77777777" w:rsidR="00320011" w:rsidRPr="00320011" w:rsidRDefault="00320011" w:rsidP="00320011">
            <w:pPr>
              <w:jc w:val="right"/>
              <w:rPr>
                <w:rFonts w:cs="Calibri"/>
                <w:sz w:val="16"/>
                <w:szCs w:val="16"/>
              </w:rPr>
            </w:pPr>
            <w:r w:rsidRPr="00320011">
              <w:rPr>
                <w:rFonts w:cs="Calibri"/>
                <w:sz w:val="16"/>
                <w:szCs w:val="16"/>
              </w:rPr>
              <w:t>6.500,00</w:t>
            </w:r>
          </w:p>
        </w:tc>
        <w:tc>
          <w:tcPr>
            <w:tcW w:w="1134" w:type="dxa"/>
            <w:tcBorders>
              <w:top w:val="nil"/>
              <w:left w:val="nil"/>
              <w:bottom w:val="single" w:sz="4" w:space="0" w:color="auto"/>
              <w:right w:val="single" w:sz="4" w:space="0" w:color="auto"/>
            </w:tcBorders>
            <w:vAlign w:val="center"/>
            <w:hideMark/>
          </w:tcPr>
          <w:p w14:paraId="4C9A6CAE" w14:textId="77777777" w:rsidR="00320011" w:rsidRPr="00320011" w:rsidRDefault="00320011" w:rsidP="00320011">
            <w:pPr>
              <w:rPr>
                <w:rFonts w:cs="Calibri"/>
                <w:sz w:val="16"/>
                <w:szCs w:val="16"/>
              </w:rPr>
            </w:pPr>
            <w:r w:rsidRPr="00320011">
              <w:rPr>
                <w:rFonts w:cs="Calibri"/>
                <w:sz w:val="16"/>
                <w:szCs w:val="16"/>
              </w:rPr>
              <w:t>Jednostavna nabava</w:t>
            </w:r>
          </w:p>
        </w:tc>
        <w:tc>
          <w:tcPr>
            <w:tcW w:w="851" w:type="dxa"/>
            <w:tcBorders>
              <w:top w:val="nil"/>
              <w:left w:val="nil"/>
              <w:bottom w:val="single" w:sz="4" w:space="0" w:color="auto"/>
              <w:right w:val="single" w:sz="4" w:space="0" w:color="auto"/>
            </w:tcBorders>
            <w:vAlign w:val="center"/>
            <w:hideMark/>
          </w:tcPr>
          <w:p w14:paraId="5B48200F" w14:textId="77777777" w:rsidR="00320011" w:rsidRPr="00320011" w:rsidRDefault="00320011" w:rsidP="00320011">
            <w:pPr>
              <w:jc w:val="center"/>
              <w:rPr>
                <w:rFonts w:cs="Calibri"/>
                <w:sz w:val="16"/>
                <w:szCs w:val="16"/>
              </w:rPr>
            </w:pPr>
            <w:r w:rsidRPr="00320011">
              <w:rPr>
                <w:rFonts w:cs="Calibri"/>
                <w:sz w:val="16"/>
                <w:szCs w:val="16"/>
              </w:rPr>
              <w:t>JNU 39/25</w:t>
            </w:r>
          </w:p>
        </w:tc>
        <w:tc>
          <w:tcPr>
            <w:tcW w:w="850" w:type="dxa"/>
            <w:tcBorders>
              <w:top w:val="nil"/>
              <w:left w:val="nil"/>
              <w:bottom w:val="single" w:sz="4" w:space="0" w:color="auto"/>
              <w:right w:val="single" w:sz="4" w:space="0" w:color="auto"/>
            </w:tcBorders>
            <w:vAlign w:val="center"/>
            <w:hideMark/>
          </w:tcPr>
          <w:p w14:paraId="7902B8E9" w14:textId="77777777" w:rsidR="00320011" w:rsidRPr="00320011" w:rsidRDefault="00320011" w:rsidP="00320011">
            <w:pPr>
              <w:jc w:val="center"/>
              <w:rPr>
                <w:rFonts w:cs="Calibri"/>
                <w:sz w:val="16"/>
                <w:szCs w:val="16"/>
              </w:rPr>
            </w:pPr>
            <w:r w:rsidRPr="00320011">
              <w:rPr>
                <w:rFonts w:cs="Calibri"/>
                <w:sz w:val="16"/>
                <w:szCs w:val="16"/>
              </w:rPr>
              <w:t>NE</w:t>
            </w:r>
          </w:p>
        </w:tc>
        <w:tc>
          <w:tcPr>
            <w:tcW w:w="851" w:type="dxa"/>
            <w:tcBorders>
              <w:top w:val="nil"/>
              <w:left w:val="nil"/>
              <w:bottom w:val="single" w:sz="4" w:space="0" w:color="auto"/>
              <w:right w:val="single" w:sz="4" w:space="0" w:color="auto"/>
            </w:tcBorders>
            <w:shd w:val="clear" w:color="000000" w:fill="FFFFFF"/>
            <w:vAlign w:val="center"/>
            <w:hideMark/>
          </w:tcPr>
          <w:p w14:paraId="787CBE33" w14:textId="77777777" w:rsidR="00320011" w:rsidRPr="00320011" w:rsidRDefault="00320011" w:rsidP="00320011">
            <w:pPr>
              <w:rPr>
                <w:rFonts w:cs="Calibri"/>
                <w:sz w:val="16"/>
                <w:szCs w:val="16"/>
              </w:rPr>
            </w:pPr>
            <w:r w:rsidRPr="00320011">
              <w:rPr>
                <w:rFonts w:cs="Calibri"/>
                <w:sz w:val="16"/>
                <w:szCs w:val="16"/>
              </w:rPr>
              <w:t>Ugovor</w:t>
            </w:r>
          </w:p>
        </w:tc>
        <w:tc>
          <w:tcPr>
            <w:tcW w:w="992" w:type="dxa"/>
            <w:tcBorders>
              <w:top w:val="nil"/>
              <w:left w:val="nil"/>
              <w:bottom w:val="single" w:sz="4" w:space="0" w:color="auto"/>
              <w:right w:val="single" w:sz="4" w:space="0" w:color="auto"/>
            </w:tcBorders>
            <w:shd w:val="clear" w:color="000000" w:fill="FFFFFF"/>
            <w:vAlign w:val="center"/>
            <w:hideMark/>
          </w:tcPr>
          <w:p w14:paraId="64999898" w14:textId="77777777" w:rsidR="00320011" w:rsidRPr="00320011" w:rsidRDefault="00320011" w:rsidP="00320011">
            <w:pPr>
              <w:jc w:val="center"/>
              <w:rPr>
                <w:rFonts w:cs="Calibri"/>
                <w:sz w:val="16"/>
                <w:szCs w:val="16"/>
              </w:rPr>
            </w:pPr>
            <w:r w:rsidRPr="00320011">
              <w:rPr>
                <w:rFonts w:cs="Calibri"/>
                <w:sz w:val="16"/>
                <w:szCs w:val="16"/>
              </w:rPr>
              <w:t>NE</w:t>
            </w:r>
          </w:p>
        </w:tc>
        <w:tc>
          <w:tcPr>
            <w:tcW w:w="850" w:type="dxa"/>
            <w:tcBorders>
              <w:top w:val="nil"/>
              <w:left w:val="nil"/>
              <w:bottom w:val="single" w:sz="4" w:space="0" w:color="auto"/>
              <w:right w:val="single" w:sz="4" w:space="0" w:color="auto"/>
            </w:tcBorders>
            <w:vAlign w:val="center"/>
            <w:hideMark/>
          </w:tcPr>
          <w:p w14:paraId="737FF8F9" w14:textId="77777777" w:rsidR="00320011" w:rsidRPr="00320011" w:rsidRDefault="00320011" w:rsidP="00320011">
            <w:pPr>
              <w:jc w:val="center"/>
              <w:rPr>
                <w:rFonts w:cs="Calibri"/>
                <w:sz w:val="16"/>
                <w:szCs w:val="16"/>
              </w:rPr>
            </w:pPr>
            <w:r w:rsidRPr="00320011">
              <w:rPr>
                <w:rFonts w:cs="Calibri"/>
                <w:sz w:val="16"/>
                <w:szCs w:val="16"/>
              </w:rPr>
              <w:t>2025</w:t>
            </w:r>
          </w:p>
        </w:tc>
        <w:tc>
          <w:tcPr>
            <w:tcW w:w="851" w:type="dxa"/>
            <w:tcBorders>
              <w:top w:val="nil"/>
              <w:left w:val="nil"/>
              <w:bottom w:val="single" w:sz="4" w:space="0" w:color="auto"/>
              <w:right w:val="single" w:sz="4" w:space="0" w:color="auto"/>
            </w:tcBorders>
            <w:noWrap/>
            <w:vAlign w:val="center"/>
            <w:hideMark/>
          </w:tcPr>
          <w:p w14:paraId="0F7F6F08" w14:textId="77777777" w:rsidR="00320011" w:rsidRPr="00320011" w:rsidRDefault="00320011" w:rsidP="00320011">
            <w:pPr>
              <w:jc w:val="center"/>
              <w:rPr>
                <w:rFonts w:cs="Calibri"/>
                <w:sz w:val="16"/>
                <w:szCs w:val="16"/>
              </w:rPr>
            </w:pPr>
          </w:p>
        </w:tc>
        <w:tc>
          <w:tcPr>
            <w:tcW w:w="992" w:type="dxa"/>
            <w:tcBorders>
              <w:top w:val="nil"/>
              <w:left w:val="nil"/>
              <w:bottom w:val="single" w:sz="4" w:space="0" w:color="auto"/>
              <w:right w:val="single" w:sz="4" w:space="0" w:color="auto"/>
            </w:tcBorders>
            <w:vAlign w:val="bottom"/>
            <w:hideMark/>
          </w:tcPr>
          <w:p w14:paraId="26D34213" w14:textId="77777777" w:rsidR="00320011" w:rsidRPr="00320011" w:rsidRDefault="00320011" w:rsidP="00320011">
            <w:pPr>
              <w:jc w:val="center"/>
              <w:rPr>
                <w:rFonts w:cs="Calibri"/>
                <w:sz w:val="16"/>
                <w:szCs w:val="16"/>
              </w:rPr>
            </w:pPr>
            <w:r w:rsidRPr="00320011">
              <w:rPr>
                <w:rFonts w:cs="Calibri"/>
                <w:sz w:val="16"/>
                <w:szCs w:val="16"/>
              </w:rPr>
              <w:t xml:space="preserve">Dodaje se (Financijski plan 3238) </w:t>
            </w:r>
          </w:p>
          <w:p w14:paraId="119AA746" w14:textId="77777777" w:rsidR="00320011" w:rsidRPr="00320011" w:rsidRDefault="00320011" w:rsidP="00320011">
            <w:pPr>
              <w:jc w:val="center"/>
              <w:rPr>
                <w:rFonts w:cs="Calibri"/>
                <w:sz w:val="16"/>
                <w:szCs w:val="16"/>
              </w:rPr>
            </w:pPr>
            <w:r w:rsidRPr="00320011">
              <w:rPr>
                <w:rFonts w:cs="Calibri"/>
                <w:sz w:val="16"/>
                <w:szCs w:val="16"/>
              </w:rPr>
              <w:t xml:space="preserve">Akcijski plan za prevenciju i suzbijanje seksualnog nasilja MROSP </w:t>
            </w:r>
          </w:p>
        </w:tc>
      </w:tr>
    </w:tbl>
    <w:p w14:paraId="7F7C4208" w14:textId="77777777" w:rsidR="00320011" w:rsidRPr="00320011" w:rsidRDefault="00320011" w:rsidP="00320011">
      <w:pPr>
        <w:tabs>
          <w:tab w:val="left" w:pos="3450"/>
        </w:tabs>
        <w:suppressAutoHyphens/>
      </w:pPr>
    </w:p>
    <w:p w14:paraId="5CFE2C82" w14:textId="77777777" w:rsidR="00320011" w:rsidRPr="00320011" w:rsidRDefault="00320011" w:rsidP="00320011">
      <w:pPr>
        <w:suppressAutoHyphens/>
        <w:jc w:val="both"/>
        <w:rPr>
          <w:rFonts w:eastAsia="Times New Roman" w:cs="Times New Roman"/>
          <w:color w:val="000000" w:themeColor="text1"/>
          <w:sz w:val="10"/>
          <w:szCs w:val="10"/>
          <w:lang w:eastAsia="hr-HR"/>
          <w14:ligatures w14:val="none"/>
        </w:rPr>
      </w:pPr>
    </w:p>
    <w:p w14:paraId="1DFE5DF5"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14:ligatures w14:val="none"/>
        </w:rPr>
      </w:pPr>
      <w:r w:rsidRPr="00320011">
        <w:rPr>
          <w:rFonts w:eastAsia="Times New Roman" w:cs="Times New Roman"/>
          <w:b/>
          <w:color w:val="000000" w:themeColor="text1"/>
          <w:lang w:eastAsia="hr-HR"/>
          <w14:ligatures w14:val="none"/>
        </w:rPr>
        <w:t xml:space="preserve">Ad 5) </w:t>
      </w:r>
      <w:r w:rsidRPr="00320011">
        <w:rPr>
          <w:b/>
          <w:color w:val="000000" w:themeColor="text1"/>
        </w:rPr>
        <w:t>Davanje ovlaštenja na pokretanje postupaka nabave i sklapanje ugovora</w:t>
      </w:r>
    </w:p>
    <w:p w14:paraId="4267349B" w14:textId="77777777" w:rsidR="00320011" w:rsidRPr="00320011" w:rsidRDefault="00320011" w:rsidP="00320011">
      <w:pPr>
        <w:jc w:val="both"/>
        <w:rPr>
          <w:rFonts w:eastAsia="Calibri" w:cs="Arial Narrow"/>
          <w:b/>
          <w:color w:val="000000" w:themeColor="text1"/>
          <w:lang w:eastAsia="hr-HR"/>
          <w14:ligatures w14:val="none"/>
        </w:rPr>
      </w:pPr>
    </w:p>
    <w:p w14:paraId="0C59E56B" w14:textId="77777777" w:rsidR="00320011" w:rsidRPr="00320011" w:rsidRDefault="00320011" w:rsidP="00320011">
      <w:pPr>
        <w:numPr>
          <w:ilvl w:val="0"/>
          <w:numId w:val="8"/>
        </w:numPr>
        <w:suppressAutoHyphens/>
        <w:ind w:left="426"/>
        <w:rPr>
          <w:rFonts w:eastAsia="Times New Roman" w:cs="Times New Roman"/>
          <w:b/>
          <w:bCs/>
          <w:color w:val="000000" w:themeColor="text1"/>
          <w:lang w:eastAsia="hr-HR"/>
          <w14:ligatures w14:val="none"/>
        </w:rPr>
      </w:pPr>
      <w:bookmarkStart w:id="0" w:name="_Hlk198906388"/>
      <w:r w:rsidRPr="00320011">
        <w:rPr>
          <w:rFonts w:eastAsia="Times New Roman" w:cs="Times New Roman"/>
          <w:b/>
          <w:bCs/>
          <w:color w:val="000000" w:themeColor="text1"/>
          <w:lang w:eastAsia="hr-HR"/>
          <w14:ligatures w14:val="none"/>
        </w:rPr>
        <w:t>Nadogradnja laboratorijskog informacijskog sustava i povezivanje s novim bolničkom informacijskim sustavom</w:t>
      </w:r>
    </w:p>
    <w:bookmarkEnd w:id="0"/>
    <w:p w14:paraId="6FC2FBCE" w14:textId="77777777" w:rsidR="00320011" w:rsidRPr="00320011" w:rsidRDefault="00320011" w:rsidP="00320011">
      <w:pPr>
        <w:suppressAutoHyphens/>
        <w:rPr>
          <w:rFonts w:eastAsia="Times New Roman" w:cs="Times New Roman"/>
          <w:color w:val="000000" w:themeColor="text1"/>
          <w:lang w:eastAsia="hr-HR"/>
          <w14:ligatures w14:val="none"/>
        </w:rPr>
      </w:pPr>
    </w:p>
    <w:p w14:paraId="6642EFD5" w14:textId="00022840" w:rsidR="00320011" w:rsidRPr="00320011" w:rsidRDefault="00320011" w:rsidP="00320011">
      <w:pPr>
        <w:tabs>
          <w:tab w:val="left" w:pos="0"/>
        </w:tabs>
        <w:overflowPunct w:val="0"/>
        <w:autoSpaceDE w:val="0"/>
        <w:autoSpaceDN w:val="0"/>
        <w:adjustRightInd w:val="0"/>
        <w:jc w:val="center"/>
        <w:textAlignment w:val="baseline"/>
        <w:rPr>
          <w:rFonts w:eastAsia="Times New Roman" w:cs="Times New Roman"/>
          <w:color w:val="000000" w:themeColor="text1"/>
          <w:lang w:eastAsia="hr-HR"/>
          <w14:ligatures w14:val="none"/>
        </w:rPr>
      </w:pPr>
      <w:r w:rsidRPr="00320011">
        <w:rPr>
          <w:rFonts w:eastAsia="Times New Roman" w:cs="Times New Roman"/>
          <w:color w:val="000000" w:themeColor="text1"/>
          <w:lang w:eastAsia="hr-HR"/>
          <w14:ligatures w14:val="none"/>
        </w:rPr>
        <w:t>ODLUKA</w:t>
      </w:r>
    </w:p>
    <w:p w14:paraId="2A5FF6ED" w14:textId="77777777" w:rsidR="00320011" w:rsidRPr="00320011" w:rsidRDefault="00320011" w:rsidP="00320011">
      <w:pPr>
        <w:ind w:firstLine="708"/>
        <w:jc w:val="both"/>
        <w:rPr>
          <w:color w:val="000000" w:themeColor="text1"/>
          <w:lang w:eastAsia="hr-HR"/>
        </w:rPr>
      </w:pPr>
      <w:r w:rsidRPr="00320011">
        <w:t>Ovlašćuje se ravnateljica, prof. prim. dr. sc. Petrana Brečić, dr. med., na sklapanje ugovora s trgovačkim društvom SAMSON INFORMATIKA d.o.o. u iznosu od 14.000,00 eura bez PDV-a za nadogradnju laboratorijskog informatičkog sustava i povezivanja s novim bolničkim informacijskim sustavom.</w:t>
      </w:r>
    </w:p>
    <w:p w14:paraId="3E909E44" w14:textId="77777777" w:rsidR="00320011" w:rsidRPr="00320011" w:rsidRDefault="00320011" w:rsidP="00320011">
      <w:pPr>
        <w:jc w:val="both"/>
        <w:rPr>
          <w:b/>
          <w:lang w:eastAsia="hr-HR"/>
        </w:rPr>
      </w:pPr>
    </w:p>
    <w:p w14:paraId="4D146B12" w14:textId="77777777" w:rsidR="00320011" w:rsidRPr="00320011" w:rsidRDefault="00320011" w:rsidP="00320011">
      <w:pPr>
        <w:suppressAutoHyphens/>
        <w:rPr>
          <w:rFonts w:eastAsia="Times New Roman" w:cs="Times New Roman"/>
          <w:b/>
          <w:bCs/>
          <w:color w:val="000000" w:themeColor="text1"/>
          <w:lang w:eastAsia="hr-HR"/>
          <w14:ligatures w14:val="none"/>
        </w:rPr>
      </w:pPr>
      <w:r w:rsidRPr="00320011">
        <w:rPr>
          <w:rFonts w:eastAsia="Times New Roman" w:cs="Times New Roman"/>
          <w:b/>
          <w:bCs/>
          <w:color w:val="000000" w:themeColor="text1"/>
          <w:lang w:eastAsia="hr-HR"/>
          <w14:ligatures w14:val="none"/>
        </w:rPr>
        <w:t>B) Usluge osiguranja za 2025./2026.</w:t>
      </w:r>
    </w:p>
    <w:p w14:paraId="235C7F9C" w14:textId="77777777" w:rsidR="00320011" w:rsidRPr="00320011" w:rsidRDefault="00320011" w:rsidP="00320011">
      <w:pPr>
        <w:suppressAutoHyphens/>
        <w:jc w:val="both"/>
        <w:rPr>
          <w:rFonts w:eastAsia="Times New Roman" w:cs="Times New Roman"/>
          <w:color w:val="000000" w:themeColor="text1"/>
          <w:lang w:eastAsia="hr-HR"/>
          <w14:ligatures w14:val="none"/>
        </w:rPr>
      </w:pPr>
    </w:p>
    <w:p w14:paraId="6B7A61B6" w14:textId="2DE61510" w:rsidR="00320011" w:rsidRPr="00320011" w:rsidRDefault="00320011" w:rsidP="00320011">
      <w:pPr>
        <w:contextualSpacing/>
        <w:jc w:val="center"/>
        <w:rPr>
          <w:rFonts w:eastAsia="Times New Roman" w:cs="Times New Roman"/>
          <w:bCs/>
          <w:color w:val="000000" w:themeColor="text1"/>
          <w:lang w:eastAsia="hr-HR"/>
          <w14:ligatures w14:val="none"/>
        </w:rPr>
      </w:pPr>
      <w:r w:rsidRPr="00320011">
        <w:rPr>
          <w:rFonts w:eastAsia="Times New Roman" w:cs="Times New Roman"/>
          <w:bCs/>
          <w:color w:val="000000" w:themeColor="text1"/>
          <w:lang w:eastAsia="hr-HR"/>
          <w14:ligatures w14:val="none"/>
        </w:rPr>
        <w:t>ODLUK</w:t>
      </w:r>
      <w:r>
        <w:rPr>
          <w:rFonts w:eastAsia="Times New Roman" w:cs="Times New Roman"/>
          <w:bCs/>
          <w:color w:val="000000" w:themeColor="text1"/>
          <w:lang w:eastAsia="hr-HR"/>
          <w14:ligatures w14:val="none"/>
        </w:rPr>
        <w:t>A</w:t>
      </w:r>
    </w:p>
    <w:p w14:paraId="0B849890" w14:textId="77777777" w:rsidR="00320011" w:rsidRPr="00320011" w:rsidRDefault="00320011" w:rsidP="00320011">
      <w:pPr>
        <w:jc w:val="both"/>
        <w:rPr>
          <w:bCs/>
          <w:lang w:eastAsia="hr-HR"/>
        </w:rPr>
      </w:pPr>
      <w:r w:rsidRPr="00320011">
        <w:rPr>
          <w:rFonts w:eastAsia="Calibri"/>
          <w:bCs/>
        </w:rPr>
        <w:t xml:space="preserve">Odobrava se pokretanje postupka jednostavne nabave za predmet nabave </w:t>
      </w:r>
      <w:r w:rsidRPr="00320011">
        <w:rPr>
          <w:rFonts w:eastAsia="Calibri"/>
          <w:bCs/>
          <w:i/>
          <w:iCs/>
        </w:rPr>
        <w:t>Usluge osiguranja imovine, osiguranja od odgovornosti i profesionalne odgovornosti</w:t>
      </w:r>
      <w:r w:rsidRPr="00320011">
        <w:rPr>
          <w:rFonts w:eastAsia="Calibri"/>
          <w:bCs/>
        </w:rPr>
        <w:t xml:space="preserve"> p</w:t>
      </w:r>
      <w:r w:rsidRPr="00320011">
        <w:rPr>
          <w:bCs/>
          <w:lang w:eastAsia="hr-HR"/>
        </w:rPr>
        <w:t xml:space="preserve">rocijenjene vrijednosti 20.000,00 EUR te se ovlašćuje ravnateljica </w:t>
      </w:r>
      <w:r w:rsidRPr="00320011">
        <w:rPr>
          <w:rFonts w:eastAsia="Calibri"/>
          <w:bCs/>
        </w:rPr>
        <w:t>prof. prim. dr. sc. Petrana Brečić, dr. med.</w:t>
      </w:r>
      <w:r w:rsidRPr="00320011">
        <w:rPr>
          <w:bCs/>
          <w:lang w:eastAsia="hr-HR"/>
        </w:rPr>
        <w:t xml:space="preserve"> na potpisivanje ugovora s gospodarskim subjektom izabranim u provedenom postupku nabave.</w:t>
      </w:r>
    </w:p>
    <w:p w14:paraId="78DD7645" w14:textId="77777777" w:rsidR="00320011" w:rsidRPr="00320011" w:rsidRDefault="00320011" w:rsidP="00320011">
      <w:pPr>
        <w:jc w:val="both"/>
        <w:rPr>
          <w:bCs/>
          <w:lang w:eastAsia="hr-HR"/>
        </w:rPr>
      </w:pPr>
    </w:p>
    <w:p w14:paraId="57DD7C6F" w14:textId="77777777" w:rsidR="00320011" w:rsidRPr="00320011" w:rsidRDefault="00320011" w:rsidP="00320011">
      <w:pPr>
        <w:contextualSpacing/>
        <w:jc w:val="both"/>
        <w:rPr>
          <w:rFonts w:cs="Times New Roman"/>
        </w:rPr>
      </w:pPr>
      <w:r w:rsidRPr="00320011">
        <w:rPr>
          <w:rFonts w:eastAsia="Times New Roman" w:cs="Times New Roman"/>
          <w:b/>
          <w:color w:val="000000" w:themeColor="text1"/>
          <w:lang w:eastAsia="hr-HR"/>
          <w14:ligatures w14:val="none"/>
        </w:rPr>
        <w:t>Ad 6) Davanje ovlaštenja ravnateljici za potpisivanje bjanko zadužnice</w:t>
      </w:r>
    </w:p>
    <w:p w14:paraId="66FBA0AA" w14:textId="77777777" w:rsidR="00320011" w:rsidRPr="00320011" w:rsidRDefault="00320011" w:rsidP="00320011">
      <w:pPr>
        <w:rPr>
          <w:rFonts w:eastAsia="Batang" w:cs="Comic Sans MS"/>
          <w:b/>
          <w:color w:val="000000" w:themeColor="text1"/>
          <w:lang w:eastAsia="ko-KR"/>
          <w14:ligatures w14:val="none"/>
        </w:rPr>
      </w:pPr>
    </w:p>
    <w:p w14:paraId="6D57F90C" w14:textId="1F16E440" w:rsidR="00320011" w:rsidRPr="00320011" w:rsidRDefault="00320011" w:rsidP="00320011">
      <w:pPr>
        <w:jc w:val="center"/>
        <w:rPr>
          <w:rFonts w:eastAsia="Batang" w:cs="Comic Sans MS"/>
          <w:bCs/>
          <w:color w:val="000000" w:themeColor="text1"/>
          <w:lang w:eastAsia="ko-KR"/>
          <w14:ligatures w14:val="none"/>
        </w:rPr>
      </w:pPr>
      <w:r w:rsidRPr="00320011">
        <w:rPr>
          <w:rFonts w:eastAsia="Batang" w:cs="Comic Sans MS"/>
          <w:bCs/>
          <w:color w:val="000000" w:themeColor="text1"/>
          <w:lang w:eastAsia="ko-KR"/>
          <w14:ligatures w14:val="none"/>
        </w:rPr>
        <w:t>ODLUKA</w:t>
      </w:r>
    </w:p>
    <w:p w14:paraId="325F2957" w14:textId="77777777" w:rsidR="00320011" w:rsidRPr="00320011" w:rsidRDefault="00320011" w:rsidP="00320011">
      <w:pPr>
        <w:contextualSpacing/>
        <w:jc w:val="both"/>
        <w:rPr>
          <w:bCs/>
        </w:rPr>
      </w:pPr>
      <w:r w:rsidRPr="00320011">
        <w:rPr>
          <w:bCs/>
        </w:rPr>
        <w:t>Ovlašćuje se ravnateljica, prof. prim. dr. sc. Petrana Brečić, dr. med., na potpisivanje bjanko zadužnice koja će se dostaviti Ministarstvu zdravstva kao prilog dokumentaciji za ostvarivanje sredstava projekta „D(r)uga priča“ koji se financira od strane Ministarstva zdravstva.</w:t>
      </w:r>
    </w:p>
    <w:p w14:paraId="07C1C72D" w14:textId="77777777" w:rsidR="00320011" w:rsidRPr="00320011" w:rsidRDefault="00320011" w:rsidP="00320011">
      <w:pPr>
        <w:contextualSpacing/>
        <w:jc w:val="both"/>
        <w:rPr>
          <w:rFonts w:eastAsia="Times New Roman" w:cs="Times New Roman"/>
          <w:bCs/>
          <w:color w:val="000000" w:themeColor="text1"/>
          <w:lang w:eastAsia="hr-HR"/>
          <w14:ligatures w14:val="none"/>
        </w:rPr>
      </w:pPr>
    </w:p>
    <w:p w14:paraId="3002B149" w14:textId="77777777" w:rsidR="00320011" w:rsidRPr="00320011" w:rsidRDefault="00320011" w:rsidP="00320011">
      <w:pPr>
        <w:contextualSpacing/>
        <w:jc w:val="both"/>
        <w:rPr>
          <w:rFonts w:eastAsia="Times New Roman" w:cs="Times New Roman"/>
          <w:b/>
          <w:color w:val="000000" w:themeColor="text1"/>
          <w:lang w:eastAsia="hr-HR"/>
          <w14:ligatures w14:val="none"/>
        </w:rPr>
      </w:pPr>
    </w:p>
    <w:p w14:paraId="7258103D" w14:textId="77777777" w:rsidR="00320011" w:rsidRPr="00320011" w:rsidRDefault="00320011" w:rsidP="00320011">
      <w:pPr>
        <w:jc w:val="both"/>
        <w:rPr>
          <w:rFonts w:eastAsia="Batang" w:cs="Comic Sans MS"/>
          <w:b/>
          <w:color w:val="000000"/>
          <w:lang w:eastAsia="ko-KR"/>
          <w14:ligatures w14:val="none"/>
        </w:rPr>
      </w:pPr>
      <w:r w:rsidRPr="00320011">
        <w:rPr>
          <w:rFonts w:eastAsia="Times New Roman" w:cs="Times New Roman"/>
          <w:b/>
          <w:color w:val="000000" w:themeColor="text1"/>
          <w:lang w:eastAsia="hr-HR"/>
          <w14:ligatures w14:val="none"/>
        </w:rPr>
        <w:t xml:space="preserve">Ad 7) </w:t>
      </w:r>
      <w:r w:rsidRPr="00320011">
        <w:rPr>
          <w:rFonts w:eastAsia="Batang" w:cs="Comic Sans MS"/>
          <w:b/>
          <w:color w:val="000000"/>
          <w:lang w:eastAsia="ko-KR"/>
          <w14:ligatures w14:val="none"/>
        </w:rPr>
        <w:t xml:space="preserve">Zahtjev   - za odobravanje zapošljavanja </w:t>
      </w:r>
    </w:p>
    <w:p w14:paraId="3773E261" w14:textId="77777777" w:rsidR="00320011" w:rsidRPr="00320011" w:rsidRDefault="00320011" w:rsidP="00320011">
      <w:pPr>
        <w:jc w:val="both"/>
        <w:rPr>
          <w:rFonts w:eastAsia="Batang" w:cs="Comic Sans MS"/>
          <w:b/>
          <w:color w:val="000000"/>
          <w:lang w:eastAsia="ko-KR"/>
          <w14:ligatures w14:val="none"/>
        </w:rPr>
      </w:pPr>
      <w:r w:rsidRPr="00320011">
        <w:rPr>
          <w:rFonts w:eastAsia="Batang" w:cs="Comic Sans MS"/>
          <w:b/>
          <w:color w:val="000000"/>
          <w:lang w:eastAsia="ko-KR"/>
          <w14:ligatures w14:val="none"/>
        </w:rPr>
        <w:tab/>
      </w:r>
      <w:r w:rsidRPr="00320011">
        <w:rPr>
          <w:rFonts w:eastAsia="Batang" w:cs="Comic Sans MS"/>
          <w:b/>
          <w:color w:val="000000"/>
          <w:lang w:eastAsia="ko-KR"/>
          <w14:ligatures w14:val="none"/>
        </w:rPr>
        <w:tab/>
        <w:t xml:space="preserve">- za produženje radnog odnosa </w:t>
      </w:r>
    </w:p>
    <w:p w14:paraId="73C08491" w14:textId="77777777" w:rsidR="00320011" w:rsidRPr="00320011" w:rsidRDefault="00320011" w:rsidP="00320011">
      <w:pPr>
        <w:rPr>
          <w:rFonts w:eastAsia="Batang" w:cs="Comic Sans MS"/>
          <w:b/>
          <w:color w:val="000000" w:themeColor="text1"/>
          <w:lang w:eastAsia="ko-KR"/>
          <w14:ligatures w14:val="none"/>
        </w:rPr>
      </w:pPr>
    </w:p>
    <w:p w14:paraId="3BAAAD01" w14:textId="77777777" w:rsidR="00320011" w:rsidRPr="00320011" w:rsidRDefault="00320011" w:rsidP="00320011">
      <w:pPr>
        <w:rPr>
          <w:rFonts w:eastAsia="Batang" w:cs="Comic Sans MS"/>
          <w:b/>
          <w:color w:val="000000" w:themeColor="text1"/>
          <w:lang w:eastAsia="ko-KR"/>
          <w14:ligatures w14:val="none"/>
        </w:rPr>
      </w:pPr>
      <w:r w:rsidRPr="00320011">
        <w:rPr>
          <w:rFonts w:eastAsia="Batang" w:cs="Comic Sans MS"/>
          <w:b/>
          <w:color w:val="000000" w:themeColor="text1"/>
          <w:lang w:eastAsia="ko-KR"/>
          <w14:ligatures w14:val="none"/>
        </w:rPr>
        <w:t>a) Zahtjev za odobravanje zapošljavanja</w:t>
      </w:r>
    </w:p>
    <w:p w14:paraId="1DBBE2CC" w14:textId="77777777" w:rsidR="00320011" w:rsidRPr="00320011" w:rsidRDefault="00320011" w:rsidP="00320011">
      <w:pPr>
        <w:rPr>
          <w:rFonts w:eastAsia="Batang" w:cs="Comic Sans MS"/>
          <w:b/>
          <w:color w:val="000000" w:themeColor="text1"/>
          <w:lang w:eastAsia="ko-KR"/>
          <w14:ligatures w14:val="none"/>
        </w:rPr>
      </w:pPr>
    </w:p>
    <w:p w14:paraId="7ED444F7" w14:textId="743A91A6" w:rsidR="00320011" w:rsidRPr="00320011" w:rsidRDefault="00320011" w:rsidP="00320011">
      <w:pPr>
        <w:jc w:val="center"/>
        <w:rPr>
          <w:rFonts w:eastAsia="Batang" w:cs="Comic Sans MS"/>
          <w:bCs/>
          <w:color w:val="000000" w:themeColor="text1"/>
          <w:lang w:eastAsia="ko-KR"/>
        </w:rPr>
      </w:pPr>
      <w:r w:rsidRPr="00320011">
        <w:rPr>
          <w:rFonts w:eastAsia="Batang" w:cs="Comic Sans MS"/>
          <w:bCs/>
          <w:color w:val="000000" w:themeColor="text1"/>
          <w:lang w:eastAsia="ko-KR"/>
        </w:rPr>
        <w:t>ODLUKA</w:t>
      </w:r>
    </w:p>
    <w:p w14:paraId="6EF0460D" w14:textId="77777777" w:rsidR="00320011" w:rsidRPr="00320011" w:rsidRDefault="00320011" w:rsidP="00320011">
      <w:pPr>
        <w:jc w:val="center"/>
        <w:rPr>
          <w:rFonts w:eastAsia="Batang" w:cs="Comic Sans MS"/>
          <w:bCs/>
          <w:color w:val="000000" w:themeColor="text1"/>
          <w:lang w:eastAsia="ko-KR"/>
        </w:rPr>
      </w:pPr>
      <w:r w:rsidRPr="00320011">
        <w:rPr>
          <w:rFonts w:eastAsia="Batang" w:cs="Comic Sans MS"/>
          <w:bCs/>
          <w:color w:val="000000" w:themeColor="text1"/>
          <w:lang w:eastAsia="ko-KR"/>
        </w:rPr>
        <w:t>I.</w:t>
      </w:r>
    </w:p>
    <w:p w14:paraId="12BC4761" w14:textId="77777777" w:rsidR="00320011" w:rsidRPr="00320011" w:rsidRDefault="00320011" w:rsidP="00320011">
      <w:pPr>
        <w:jc w:val="both"/>
        <w:rPr>
          <w:rFonts w:eastAsia="Batang" w:cs="Comic Sans MS"/>
          <w:bCs/>
          <w:color w:val="000000" w:themeColor="text1"/>
          <w:lang w:eastAsia="ko-KR"/>
        </w:rPr>
      </w:pPr>
      <w:r w:rsidRPr="00320011">
        <w:rPr>
          <w:rFonts w:eastAsia="Batang" w:cs="Comic Sans MS"/>
          <w:bCs/>
          <w:color w:val="000000" w:themeColor="text1"/>
          <w:lang w:eastAsia="ko-KR"/>
        </w:rPr>
        <w:t>Odobrava se pokretanje postupka za zapošljavanje za sljedeća radna mjesta:</w:t>
      </w:r>
    </w:p>
    <w:p w14:paraId="5C0B0205" w14:textId="77777777" w:rsidR="00320011" w:rsidRPr="00320011" w:rsidRDefault="00320011" w:rsidP="00320011">
      <w:pPr>
        <w:jc w:val="both"/>
        <w:rPr>
          <w:rFonts w:eastAsia="Batang" w:cs="Comic Sans MS"/>
          <w:bCs/>
          <w:color w:val="000000" w:themeColor="text1"/>
          <w:lang w:eastAsia="ko-KR"/>
        </w:rPr>
      </w:pPr>
    </w:p>
    <w:p w14:paraId="2D5952FC" w14:textId="77777777" w:rsidR="00320011" w:rsidRPr="00320011" w:rsidRDefault="00320011" w:rsidP="00320011">
      <w:pPr>
        <w:ind w:left="66" w:firstLine="360"/>
        <w:jc w:val="both"/>
        <w:rPr>
          <w:rFonts w:eastAsia="Batang" w:cs="Comic Sans MS"/>
          <w:bCs/>
          <w:color w:val="000000" w:themeColor="text1"/>
          <w:u w:val="single"/>
          <w:lang w:eastAsia="ko-KR"/>
        </w:rPr>
      </w:pPr>
      <w:r w:rsidRPr="00320011">
        <w:rPr>
          <w:rFonts w:eastAsia="Batang" w:cs="Comic Sans MS"/>
          <w:bCs/>
          <w:color w:val="000000" w:themeColor="text1"/>
          <w:u w:val="single"/>
          <w:lang w:eastAsia="ko-KR"/>
        </w:rPr>
        <w:t>Na neodređeno vrijeme</w:t>
      </w:r>
    </w:p>
    <w:p w14:paraId="56D146DE" w14:textId="77777777" w:rsidR="00320011" w:rsidRPr="00320011" w:rsidRDefault="00320011" w:rsidP="00320011">
      <w:pPr>
        <w:ind w:left="720"/>
        <w:contextualSpacing/>
        <w:rPr>
          <w:bCs/>
          <w:color w:val="000000" w:themeColor="text1"/>
          <w:sz w:val="10"/>
          <w:szCs w:val="10"/>
          <w:u w:val="single"/>
          <w:lang w:eastAsia="ko-KR"/>
        </w:rPr>
      </w:pPr>
    </w:p>
    <w:p w14:paraId="35988AC4" w14:textId="77777777" w:rsidR="00320011" w:rsidRPr="00320011" w:rsidRDefault="00320011" w:rsidP="00320011">
      <w:pPr>
        <w:numPr>
          <w:ilvl w:val="0"/>
          <w:numId w:val="10"/>
        </w:numPr>
        <w:contextualSpacing/>
        <w:rPr>
          <w:bCs/>
          <w:color w:val="000000" w:themeColor="text1"/>
          <w:u w:val="single"/>
          <w:lang w:eastAsia="ko-KR"/>
        </w:rPr>
      </w:pPr>
      <w:r w:rsidRPr="00320011">
        <w:rPr>
          <w:bCs/>
          <w:color w:val="000000" w:themeColor="text1"/>
          <w:u w:val="single"/>
          <w:lang w:eastAsia="ko-KR"/>
        </w:rPr>
        <w:t>viši savjetnik u Zavodu za psihijatrijska istraživanja 2– 1 izvršitelja</w:t>
      </w:r>
    </w:p>
    <w:p w14:paraId="38104C0F" w14:textId="77777777" w:rsidR="00320011" w:rsidRPr="00320011" w:rsidRDefault="00320011" w:rsidP="00320011">
      <w:pPr>
        <w:numPr>
          <w:ilvl w:val="0"/>
          <w:numId w:val="10"/>
        </w:numPr>
        <w:contextualSpacing/>
        <w:jc w:val="both"/>
        <w:rPr>
          <w:rFonts w:eastAsia="Batang" w:cs="Comic Sans MS"/>
          <w:color w:val="000000" w:themeColor="text1"/>
          <w:u w:val="single"/>
          <w:lang w:eastAsia="ko-KR"/>
        </w:rPr>
      </w:pPr>
      <w:r w:rsidRPr="00320011">
        <w:rPr>
          <w:rFonts w:eastAsia="Batang" w:cs="Comic Sans MS"/>
          <w:color w:val="000000" w:themeColor="text1"/>
          <w:u w:val="single"/>
          <w:lang w:eastAsia="ko-KR"/>
        </w:rPr>
        <w:t>medicinska sestra/tehničar prvostupnik u bolnici – 2 izvršitelja</w:t>
      </w:r>
    </w:p>
    <w:p w14:paraId="6442A088" w14:textId="77777777" w:rsidR="00320011" w:rsidRPr="00320011" w:rsidRDefault="00320011" w:rsidP="00320011">
      <w:pPr>
        <w:numPr>
          <w:ilvl w:val="0"/>
          <w:numId w:val="10"/>
        </w:numPr>
        <w:contextualSpacing/>
        <w:jc w:val="both"/>
        <w:rPr>
          <w:rFonts w:eastAsia="Batang" w:cs="Comic Sans MS"/>
          <w:color w:val="000000" w:themeColor="text1"/>
          <w:u w:val="single"/>
          <w:lang w:eastAsia="ko-KR"/>
        </w:rPr>
      </w:pPr>
      <w:r w:rsidRPr="00320011">
        <w:rPr>
          <w:rFonts w:eastAsia="Batang" w:cs="Comic Sans MS"/>
          <w:color w:val="000000" w:themeColor="text1"/>
          <w:u w:val="single"/>
          <w:lang w:eastAsia="ko-KR"/>
        </w:rPr>
        <w:t>pomoćni radnik u Praonici rublja s posebnim uvjetima rada – 1 izvršitelj</w:t>
      </w:r>
    </w:p>
    <w:p w14:paraId="3011F243" w14:textId="77777777" w:rsidR="00320011" w:rsidRPr="00320011" w:rsidRDefault="00320011" w:rsidP="00320011">
      <w:pPr>
        <w:ind w:left="66" w:firstLine="360"/>
        <w:jc w:val="both"/>
        <w:rPr>
          <w:rFonts w:eastAsia="Batang" w:cs="Comic Sans MS"/>
          <w:bCs/>
          <w:color w:val="000000" w:themeColor="text1"/>
          <w:u w:val="single"/>
          <w:lang w:eastAsia="ko-KR"/>
        </w:rPr>
      </w:pPr>
      <w:r w:rsidRPr="00320011">
        <w:rPr>
          <w:rFonts w:eastAsia="Batang" w:cs="Comic Sans MS"/>
          <w:bCs/>
          <w:color w:val="000000" w:themeColor="text1"/>
          <w:u w:val="single"/>
          <w:lang w:eastAsia="ko-KR"/>
        </w:rPr>
        <w:t>Na određeno vrijeme</w:t>
      </w:r>
    </w:p>
    <w:p w14:paraId="3B87CDE1" w14:textId="77777777" w:rsidR="00320011" w:rsidRPr="00320011" w:rsidRDefault="00320011" w:rsidP="00320011">
      <w:pPr>
        <w:ind w:left="66" w:firstLine="360"/>
        <w:jc w:val="both"/>
        <w:rPr>
          <w:rFonts w:eastAsia="Batang" w:cs="Comic Sans MS"/>
          <w:b/>
          <w:color w:val="000000" w:themeColor="text1"/>
          <w:sz w:val="14"/>
          <w:szCs w:val="14"/>
          <w:u w:val="single"/>
          <w:lang w:eastAsia="ko-KR"/>
        </w:rPr>
      </w:pPr>
    </w:p>
    <w:p w14:paraId="63F20CE6" w14:textId="77777777" w:rsidR="00320011" w:rsidRPr="00320011" w:rsidRDefault="00320011" w:rsidP="00320011">
      <w:pPr>
        <w:numPr>
          <w:ilvl w:val="0"/>
          <w:numId w:val="10"/>
        </w:numPr>
        <w:contextualSpacing/>
        <w:jc w:val="both"/>
        <w:rPr>
          <w:rFonts w:eastAsia="Batang" w:cs="Comic Sans MS"/>
          <w:color w:val="000000" w:themeColor="text1"/>
          <w:u w:val="single"/>
          <w:lang w:eastAsia="ko-KR"/>
        </w:rPr>
      </w:pPr>
      <w:r w:rsidRPr="00320011">
        <w:rPr>
          <w:rFonts w:eastAsia="Batang" w:cs="Comic Sans MS"/>
          <w:color w:val="000000" w:themeColor="text1"/>
          <w:u w:val="single"/>
          <w:lang w:eastAsia="ko-KR"/>
        </w:rPr>
        <w:t>pomoćni radnik u Praonici rublja s posebnim uvjetima rada – 1 izvršitelj</w:t>
      </w:r>
    </w:p>
    <w:p w14:paraId="57E5BD6D" w14:textId="77777777" w:rsidR="00320011" w:rsidRPr="00320011" w:rsidRDefault="00320011" w:rsidP="00320011">
      <w:pPr>
        <w:jc w:val="both"/>
        <w:rPr>
          <w:rFonts w:eastAsia="Batang" w:cs="Comic Sans MS"/>
          <w:b/>
          <w:color w:val="000000" w:themeColor="text1"/>
          <w:lang w:eastAsia="ko-KR"/>
        </w:rPr>
      </w:pPr>
    </w:p>
    <w:p w14:paraId="7A42CB1D" w14:textId="77777777" w:rsidR="00320011" w:rsidRDefault="00320011" w:rsidP="00320011">
      <w:pPr>
        <w:jc w:val="center"/>
        <w:rPr>
          <w:rFonts w:eastAsia="Batang" w:cs="Comic Sans MS"/>
          <w:bCs/>
          <w:color w:val="000000" w:themeColor="text1"/>
          <w:lang w:eastAsia="ko-KR"/>
        </w:rPr>
      </w:pPr>
    </w:p>
    <w:p w14:paraId="23A0F1B1" w14:textId="4E2B9D6A" w:rsidR="00320011" w:rsidRPr="00320011" w:rsidRDefault="00320011" w:rsidP="00320011">
      <w:pPr>
        <w:jc w:val="center"/>
        <w:rPr>
          <w:rFonts w:eastAsia="Batang" w:cs="Comic Sans MS"/>
          <w:bCs/>
          <w:color w:val="000000" w:themeColor="text1"/>
          <w:lang w:eastAsia="ko-KR"/>
        </w:rPr>
      </w:pPr>
      <w:r w:rsidRPr="00320011">
        <w:rPr>
          <w:rFonts w:eastAsia="Batang" w:cs="Comic Sans MS"/>
          <w:bCs/>
          <w:color w:val="000000" w:themeColor="text1"/>
          <w:lang w:eastAsia="ko-KR"/>
        </w:rPr>
        <w:lastRenderedPageBreak/>
        <w:t>II.</w:t>
      </w:r>
    </w:p>
    <w:p w14:paraId="7064C6C6" w14:textId="77777777" w:rsidR="00320011" w:rsidRPr="00320011" w:rsidRDefault="00320011" w:rsidP="00320011">
      <w:pPr>
        <w:jc w:val="both"/>
        <w:rPr>
          <w:rFonts w:eastAsia="Batang" w:cs="Comic Sans MS"/>
          <w:bCs/>
          <w:color w:val="000000" w:themeColor="text1"/>
          <w:lang w:eastAsia="ko-KR"/>
        </w:rPr>
      </w:pPr>
      <w:r w:rsidRPr="00320011">
        <w:rPr>
          <w:rFonts w:eastAsia="Batang" w:cs="Comic Sans MS"/>
          <w:bCs/>
          <w:color w:val="000000" w:themeColor="text1"/>
          <w:lang w:eastAsia="ko-KR"/>
        </w:rPr>
        <w:t xml:space="preserve">Navedena zapošljavanja u skladu su s Pravilnikom o unutarnjem ustrojstvu Klinike za psihijatriju Vrapče. </w:t>
      </w:r>
    </w:p>
    <w:p w14:paraId="652A91F6" w14:textId="77777777" w:rsidR="00320011" w:rsidRPr="00320011" w:rsidRDefault="00320011" w:rsidP="00320011">
      <w:pPr>
        <w:jc w:val="both"/>
        <w:rPr>
          <w:rFonts w:eastAsia="Batang" w:cs="Comic Sans MS"/>
          <w:bCs/>
          <w:color w:val="000000" w:themeColor="text1"/>
          <w:lang w:eastAsia="ko-KR"/>
        </w:rPr>
      </w:pPr>
      <w:r w:rsidRPr="00320011">
        <w:rPr>
          <w:rFonts w:eastAsia="Batang" w:cs="Comic Sans MS"/>
          <w:bCs/>
          <w:color w:val="000000" w:themeColor="text1"/>
          <w:lang w:eastAsia="ko-KR"/>
        </w:rPr>
        <w:t>Predložena zapošljavanja financirat će se iz Proračuna Hrvatskog zavoda za zdravstveno osiguranje.</w:t>
      </w:r>
    </w:p>
    <w:p w14:paraId="2D2E8A45" w14:textId="77777777" w:rsidR="00320011" w:rsidRPr="00320011" w:rsidRDefault="00320011" w:rsidP="00320011">
      <w:pPr>
        <w:jc w:val="both"/>
        <w:rPr>
          <w:rFonts w:eastAsia="Batang" w:cs="Comic Sans MS"/>
          <w:bCs/>
          <w:color w:val="000000" w:themeColor="text1"/>
          <w:lang w:eastAsia="ko-KR"/>
        </w:rPr>
      </w:pPr>
    </w:p>
    <w:p w14:paraId="6D7B553A" w14:textId="77777777" w:rsidR="00320011" w:rsidRPr="00320011" w:rsidRDefault="00320011" w:rsidP="00320011">
      <w:pPr>
        <w:jc w:val="center"/>
        <w:rPr>
          <w:rFonts w:eastAsia="Batang" w:cs="Comic Sans MS"/>
          <w:bCs/>
          <w:color w:val="000000" w:themeColor="text1"/>
          <w:lang w:eastAsia="ko-KR"/>
        </w:rPr>
      </w:pPr>
      <w:r w:rsidRPr="00320011">
        <w:rPr>
          <w:rFonts w:eastAsia="Batang" w:cs="Comic Sans MS"/>
          <w:bCs/>
          <w:color w:val="000000" w:themeColor="text1"/>
          <w:lang w:eastAsia="ko-KR"/>
        </w:rPr>
        <w:t>III.</w:t>
      </w:r>
    </w:p>
    <w:p w14:paraId="2F817BF2" w14:textId="77777777" w:rsidR="00320011" w:rsidRPr="00320011" w:rsidRDefault="00320011" w:rsidP="00320011">
      <w:pPr>
        <w:jc w:val="both"/>
        <w:rPr>
          <w:rFonts w:eastAsia="Batang" w:cs="Comic Sans MS"/>
          <w:bCs/>
          <w:color w:val="000000" w:themeColor="text1"/>
          <w:lang w:eastAsia="ko-KR"/>
        </w:rPr>
      </w:pPr>
      <w:r w:rsidRPr="00320011">
        <w:rPr>
          <w:rFonts w:eastAsia="Batang" w:cs="Comic Sans MS"/>
          <w:bCs/>
          <w:color w:val="000000" w:themeColor="text1"/>
          <w:lang w:eastAsia="ko-KR"/>
        </w:rPr>
        <w:t>Ova Odluka dostavit će se Ministarstvu zdravstva radi ishođenja suglasnosti.</w:t>
      </w:r>
    </w:p>
    <w:p w14:paraId="157CBFB8" w14:textId="77777777" w:rsidR="00320011" w:rsidRPr="00320011" w:rsidRDefault="00320011" w:rsidP="00320011">
      <w:pPr>
        <w:rPr>
          <w:rFonts w:eastAsia="Times New Roman" w:cs="Times New Roman"/>
          <w:bCs/>
          <w:szCs w:val="22"/>
          <w:lang w:eastAsia="hr-HR"/>
          <w14:ligatures w14:val="none"/>
        </w:rPr>
      </w:pPr>
    </w:p>
    <w:p w14:paraId="6D1ED46E" w14:textId="77777777" w:rsidR="00320011" w:rsidRPr="00320011" w:rsidRDefault="00320011" w:rsidP="00320011">
      <w:pPr>
        <w:rPr>
          <w:rFonts w:eastAsia="Times New Roman" w:cs="Times New Roman"/>
          <w:b/>
          <w:szCs w:val="22"/>
          <w:lang w:eastAsia="hr-HR"/>
          <w14:ligatures w14:val="none"/>
        </w:rPr>
      </w:pPr>
      <w:r w:rsidRPr="00320011">
        <w:rPr>
          <w:rFonts w:eastAsia="Times New Roman" w:cs="Times New Roman"/>
          <w:b/>
          <w:szCs w:val="22"/>
          <w:lang w:eastAsia="hr-HR"/>
          <w14:ligatures w14:val="none"/>
        </w:rPr>
        <w:t xml:space="preserve">b) Zahtjev za produženje radnog odnosa nakon 65. godine života prof. prim. dr. sc. Ninoslavu </w:t>
      </w:r>
    </w:p>
    <w:p w14:paraId="52C8802A" w14:textId="77777777" w:rsidR="00320011" w:rsidRPr="00320011" w:rsidRDefault="00320011" w:rsidP="00320011">
      <w:pPr>
        <w:rPr>
          <w:rFonts w:eastAsia="Times New Roman" w:cs="Times New Roman"/>
          <w:b/>
          <w:szCs w:val="22"/>
          <w:lang w:eastAsia="hr-HR"/>
          <w14:ligatures w14:val="none"/>
        </w:rPr>
      </w:pPr>
      <w:r w:rsidRPr="00320011">
        <w:rPr>
          <w:rFonts w:eastAsia="Times New Roman" w:cs="Times New Roman"/>
          <w:b/>
          <w:szCs w:val="22"/>
          <w:lang w:eastAsia="hr-HR"/>
          <w14:ligatures w14:val="none"/>
        </w:rPr>
        <w:t xml:space="preserve">    Mimici, dr. med.</w:t>
      </w:r>
    </w:p>
    <w:p w14:paraId="70E99D00" w14:textId="77777777" w:rsidR="00320011" w:rsidRPr="00320011" w:rsidRDefault="00320011" w:rsidP="00320011">
      <w:pPr>
        <w:rPr>
          <w:rFonts w:eastAsia="Times New Roman" w:cs="Times New Roman"/>
          <w:b/>
          <w:szCs w:val="22"/>
          <w:lang w:eastAsia="hr-HR"/>
          <w14:ligatures w14:val="none"/>
        </w:rPr>
      </w:pPr>
    </w:p>
    <w:p w14:paraId="333E8F7F" w14:textId="7BE4867A" w:rsidR="00320011" w:rsidRPr="00320011" w:rsidRDefault="00320011" w:rsidP="00320011">
      <w:pPr>
        <w:jc w:val="center"/>
        <w:rPr>
          <w:rFonts w:eastAsia="Batang" w:cs="Comic Sans MS"/>
          <w:bCs/>
          <w:color w:val="000000" w:themeColor="text1"/>
          <w:lang w:eastAsia="ko-KR"/>
          <w14:ligatures w14:val="none"/>
        </w:rPr>
      </w:pPr>
      <w:r w:rsidRPr="00320011">
        <w:rPr>
          <w:rFonts w:eastAsia="Batang" w:cs="Comic Sans MS"/>
          <w:bCs/>
          <w:color w:val="000000" w:themeColor="text1"/>
          <w:lang w:eastAsia="ko-KR"/>
          <w14:ligatures w14:val="none"/>
        </w:rPr>
        <w:t>ODLUKA</w:t>
      </w:r>
    </w:p>
    <w:p w14:paraId="497D3EEE" w14:textId="77777777" w:rsidR="00320011" w:rsidRPr="00320011" w:rsidRDefault="00320011" w:rsidP="00320011">
      <w:pPr>
        <w:jc w:val="both"/>
        <w:rPr>
          <w:rFonts w:eastAsia="Batang" w:cs="Comic Sans MS"/>
          <w:bCs/>
          <w:color w:val="000000"/>
          <w:lang w:eastAsia="ko-KR"/>
        </w:rPr>
      </w:pPr>
      <w:r w:rsidRPr="00320011">
        <w:rPr>
          <w:rFonts w:eastAsia="Batang" w:cs="Comic Sans MS"/>
          <w:bCs/>
          <w:color w:val="000000"/>
          <w:lang w:eastAsia="ko-KR"/>
        </w:rPr>
        <w:t>Odobrava se produženje radnog odnosa prof. prim. dr. sc. Ninoslavu Mimici, dr. med., u punom radnom vremenu, u trajanju od godine dana.</w:t>
      </w:r>
    </w:p>
    <w:p w14:paraId="1ABF9C69"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p>
    <w:p w14:paraId="43E02330"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r w:rsidRPr="00320011">
        <w:rPr>
          <w:rFonts w:eastAsia="Times New Roman" w:cs="Times New Roman"/>
          <w:b/>
          <w:color w:val="000000" w:themeColor="text1"/>
          <w:lang w:eastAsia="hr-HR"/>
          <w14:ligatures w14:val="none"/>
        </w:rPr>
        <w:t xml:space="preserve">Ad 8) Obavijest o utvrđivanju novčanih sredstava za razdoblje od 1. siječnja do 31. prosinca 2025. </w:t>
      </w:r>
    </w:p>
    <w:p w14:paraId="08B2C760"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r w:rsidRPr="00320011">
        <w:rPr>
          <w:rFonts w:eastAsia="Times New Roman" w:cs="Times New Roman"/>
          <w:b/>
          <w:color w:val="000000" w:themeColor="text1"/>
          <w:lang w:eastAsia="hr-HR"/>
          <w14:ligatures w14:val="none"/>
        </w:rPr>
        <w:t xml:space="preserve">          godine</w:t>
      </w:r>
    </w:p>
    <w:p w14:paraId="4D9766AC"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p>
    <w:p w14:paraId="459E4E0A" w14:textId="14F32052" w:rsidR="00320011" w:rsidRPr="00320011" w:rsidRDefault="00320011" w:rsidP="00320011">
      <w:pPr>
        <w:jc w:val="center"/>
        <w:rPr>
          <w:rFonts w:eastAsia="Batang" w:cs="Comic Sans MS"/>
          <w:color w:val="000000" w:themeColor="text1"/>
          <w:lang w:eastAsia="ko-KR"/>
          <w14:ligatures w14:val="none"/>
        </w:rPr>
      </w:pPr>
      <w:r w:rsidRPr="00320011">
        <w:rPr>
          <w:rFonts w:eastAsia="Batang" w:cs="Comic Sans MS"/>
          <w:color w:val="000000" w:themeColor="text1"/>
          <w:lang w:eastAsia="ko-KR"/>
          <w14:ligatures w14:val="none"/>
        </w:rPr>
        <w:t>ODLUKA</w:t>
      </w:r>
    </w:p>
    <w:p w14:paraId="4B75263E" w14:textId="77777777" w:rsidR="00320011" w:rsidRPr="00320011" w:rsidRDefault="00320011" w:rsidP="00320011">
      <w:pPr>
        <w:ind w:firstLine="708"/>
        <w:jc w:val="both"/>
      </w:pPr>
      <w:r w:rsidRPr="00320011">
        <w:rPr>
          <w:rFonts w:eastAsia="Times New Roman" w:cs="Times New Roman"/>
          <w:color w:val="000000" w:themeColor="text1"/>
          <w:lang w:eastAsia="hr-HR"/>
          <w14:ligatures w14:val="none"/>
        </w:rPr>
        <w:t xml:space="preserve">Ovlašćuje se </w:t>
      </w:r>
      <w:r w:rsidRPr="00320011">
        <w:t xml:space="preserve">ravnateljica, prof. prim. dr. sc. Petrana Brečić, dr. med. na potpisivanje Dodatka XIII Ugovoru o provođenju bolničke i specijalističko konzilijarne zdravstvene zaštite s HZZO-om. </w:t>
      </w:r>
    </w:p>
    <w:p w14:paraId="6848E58C"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p>
    <w:p w14:paraId="0D63C598" w14:textId="77777777" w:rsidR="00320011" w:rsidRPr="00320011" w:rsidRDefault="00320011" w:rsidP="00320011">
      <w:pPr>
        <w:tabs>
          <w:tab w:val="left" w:pos="360"/>
        </w:tabs>
        <w:overflowPunct w:val="0"/>
        <w:autoSpaceDE w:val="0"/>
        <w:autoSpaceDN w:val="0"/>
        <w:adjustRightInd w:val="0"/>
        <w:jc w:val="both"/>
        <w:textAlignment w:val="baseline"/>
        <w:rPr>
          <w:b/>
        </w:rPr>
      </w:pPr>
      <w:r w:rsidRPr="00320011">
        <w:rPr>
          <w:rFonts w:eastAsia="Times New Roman" w:cs="Times New Roman"/>
          <w:b/>
          <w:color w:val="000000" w:themeColor="text1"/>
          <w:lang w:eastAsia="hr-HR"/>
          <w14:ligatures w14:val="none"/>
        </w:rPr>
        <w:t xml:space="preserve">Ad 9) </w:t>
      </w:r>
      <w:r w:rsidRPr="00320011">
        <w:rPr>
          <w:rFonts w:eastAsia="Times New Roman" w:cs="Times New Roman"/>
          <w:b/>
          <w:lang w:eastAsia="hr-HR"/>
        </w:rPr>
        <w:t>Izvješće o bolničkim infekcijama za 2024. godinu</w:t>
      </w:r>
    </w:p>
    <w:p w14:paraId="47A00CBE"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p>
    <w:p w14:paraId="5D29AC01" w14:textId="77777777" w:rsidR="00320011" w:rsidRPr="00320011" w:rsidRDefault="00320011" w:rsidP="00320011">
      <w:pPr>
        <w:tabs>
          <w:tab w:val="left" w:pos="360"/>
        </w:tabs>
        <w:overflowPunct w:val="0"/>
        <w:autoSpaceDE w:val="0"/>
        <w:autoSpaceDN w:val="0"/>
        <w:adjustRightInd w:val="0"/>
        <w:jc w:val="center"/>
        <w:textAlignment w:val="baseline"/>
        <w:rPr>
          <w:bCs/>
          <w:color w:val="000000" w:themeColor="text1"/>
          <w:lang w:eastAsia="hr-HR"/>
        </w:rPr>
      </w:pPr>
      <w:r w:rsidRPr="00320011">
        <w:rPr>
          <w:bCs/>
          <w:color w:val="000000" w:themeColor="text1"/>
          <w:lang w:eastAsia="hr-HR"/>
        </w:rPr>
        <w:t>ZAKLJUČAK</w:t>
      </w:r>
    </w:p>
    <w:p w14:paraId="1B703DD5" w14:textId="77777777" w:rsidR="00320011" w:rsidRPr="00320011" w:rsidRDefault="00320011" w:rsidP="00320011">
      <w:pPr>
        <w:ind w:firstLine="708"/>
        <w:jc w:val="both"/>
        <w:rPr>
          <w:rFonts w:eastAsia="Batang" w:cs="Comic Sans MS"/>
          <w:bCs/>
          <w:color w:val="000000" w:themeColor="text1"/>
          <w:lang w:eastAsia="ko-KR"/>
        </w:rPr>
      </w:pPr>
      <w:r w:rsidRPr="00320011">
        <w:rPr>
          <w:rFonts w:eastAsia="Batang" w:cs="Comic Sans MS"/>
          <w:bCs/>
          <w:color w:val="000000" w:themeColor="text1"/>
          <w:lang w:eastAsia="ko-KR"/>
        </w:rPr>
        <w:t>Usvaja se izvješće o bolničkim infekcijama za 2024. godinu.</w:t>
      </w:r>
    </w:p>
    <w:p w14:paraId="3C00CAA1" w14:textId="77777777" w:rsidR="00320011" w:rsidRPr="00320011" w:rsidRDefault="00320011" w:rsidP="00320011">
      <w:pPr>
        <w:ind w:firstLine="709"/>
        <w:jc w:val="both"/>
        <w:rPr>
          <w:color w:val="000000" w:themeColor="text1"/>
        </w:rPr>
      </w:pPr>
    </w:p>
    <w:p w14:paraId="056A4973" w14:textId="77777777" w:rsidR="00320011" w:rsidRPr="00320011" w:rsidRDefault="00320011" w:rsidP="00320011">
      <w:pPr>
        <w:overflowPunct w:val="0"/>
        <w:autoSpaceDE w:val="0"/>
        <w:autoSpaceDN w:val="0"/>
        <w:adjustRightInd w:val="0"/>
        <w:jc w:val="both"/>
        <w:textAlignment w:val="baseline"/>
        <w:rPr>
          <w:rFonts w:eastAsia="Batang" w:cs="Comic Sans MS"/>
          <w:color w:val="000000" w:themeColor="text1"/>
          <w:lang w:eastAsia="hr-HR"/>
          <w14:ligatures w14:val="none"/>
        </w:rPr>
      </w:pPr>
    </w:p>
    <w:p w14:paraId="599074C7"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r w:rsidRPr="00320011">
        <w:rPr>
          <w:rFonts w:eastAsia="Times New Roman" w:cs="Times New Roman"/>
          <w:b/>
          <w:color w:val="000000" w:themeColor="text1"/>
          <w:lang w:eastAsia="hr-HR"/>
          <w14:ligatures w14:val="none"/>
        </w:rPr>
        <w:t>Ad 10) Dogovor datuma sljedeće sjednice</w:t>
      </w:r>
    </w:p>
    <w:p w14:paraId="15DCD262" w14:textId="77777777" w:rsidR="00320011" w:rsidRPr="00320011" w:rsidRDefault="00320011" w:rsidP="00320011">
      <w:pPr>
        <w:jc w:val="both"/>
        <w:rPr>
          <w:rFonts w:eastAsia="Batang" w:cs="Comic Sans MS"/>
          <w:color w:val="000000" w:themeColor="text1"/>
          <w:lang w:eastAsia="ko-KR"/>
          <w14:ligatures w14:val="none"/>
        </w:rPr>
      </w:pPr>
    </w:p>
    <w:p w14:paraId="537FB625" w14:textId="77777777" w:rsidR="00320011" w:rsidRPr="00320011" w:rsidRDefault="00320011" w:rsidP="00320011">
      <w:pPr>
        <w:suppressAutoHyphens/>
        <w:ind w:firstLine="708"/>
        <w:contextualSpacing/>
        <w:jc w:val="both"/>
        <w:rPr>
          <w:rFonts w:eastAsia="Times New Roman" w:cs="Times New Roman"/>
          <w:color w:val="000000" w:themeColor="text1"/>
          <w:lang w:eastAsia="hr-HR"/>
          <w14:ligatures w14:val="none"/>
        </w:rPr>
      </w:pPr>
      <w:r w:rsidRPr="00320011">
        <w:rPr>
          <w:rFonts w:eastAsia="Times New Roman" w:cs="Times New Roman"/>
          <w:color w:val="000000" w:themeColor="text1"/>
          <w:lang w:eastAsia="hr-HR"/>
          <w14:ligatures w14:val="none"/>
        </w:rPr>
        <w:t>Datum sljedeće sjednice Upravnog vijeća dogovorit će se naknadno.</w:t>
      </w:r>
    </w:p>
    <w:p w14:paraId="657B7A49" w14:textId="77777777" w:rsidR="00320011" w:rsidRPr="00320011" w:rsidRDefault="00320011" w:rsidP="00320011">
      <w:pPr>
        <w:suppressAutoHyphens/>
        <w:ind w:firstLine="708"/>
        <w:contextualSpacing/>
        <w:jc w:val="both"/>
        <w:rPr>
          <w:rFonts w:eastAsia="Times New Roman" w:cs="Times New Roman"/>
          <w:color w:val="000000" w:themeColor="text1"/>
          <w:lang w:eastAsia="hr-HR"/>
          <w14:ligatures w14:val="none"/>
        </w:rPr>
      </w:pPr>
    </w:p>
    <w:p w14:paraId="4D0F4259" w14:textId="77777777" w:rsidR="00320011" w:rsidRPr="00320011" w:rsidRDefault="00320011" w:rsidP="00320011">
      <w:pPr>
        <w:tabs>
          <w:tab w:val="left" w:pos="360"/>
        </w:tabs>
        <w:overflowPunct w:val="0"/>
        <w:autoSpaceDE w:val="0"/>
        <w:autoSpaceDN w:val="0"/>
        <w:adjustRightInd w:val="0"/>
        <w:jc w:val="both"/>
        <w:textAlignment w:val="baseline"/>
        <w:rPr>
          <w:rFonts w:eastAsia="Times New Roman" w:cs="Times New Roman"/>
          <w:color w:val="000000" w:themeColor="text1"/>
          <w:lang w:eastAsia="hr-HR"/>
          <w14:ligatures w14:val="none"/>
        </w:rPr>
      </w:pPr>
      <w:r w:rsidRPr="00320011">
        <w:rPr>
          <w:rFonts w:eastAsia="Times New Roman" w:cs="Times New Roman"/>
          <w:b/>
          <w:color w:val="000000" w:themeColor="text1"/>
          <w:lang w:eastAsia="hr-HR"/>
          <w14:ligatures w14:val="none"/>
        </w:rPr>
        <w:t xml:space="preserve">Ad 11) </w:t>
      </w:r>
      <w:r w:rsidRPr="00320011">
        <w:rPr>
          <w:rFonts w:eastAsia="Times New Roman" w:cs="Times New Roman"/>
          <w:b/>
          <w:color w:val="000000" w:themeColor="text1"/>
          <w14:ligatures w14:val="none"/>
        </w:rPr>
        <w:t>Razno</w:t>
      </w:r>
    </w:p>
    <w:p w14:paraId="5D712586" w14:textId="77777777" w:rsidR="00320011" w:rsidRPr="00320011" w:rsidRDefault="00320011" w:rsidP="00320011">
      <w:pPr>
        <w:suppressAutoHyphens/>
        <w:jc w:val="both"/>
        <w:rPr>
          <w:rFonts w:eastAsia="Times New Roman" w:cs="Times New Roman"/>
          <w:color w:val="000000" w:themeColor="text1"/>
          <w14:ligatures w14:val="none"/>
        </w:rPr>
      </w:pPr>
    </w:p>
    <w:p w14:paraId="58B973AC" w14:textId="77777777" w:rsidR="00320011" w:rsidRPr="00320011" w:rsidRDefault="00320011" w:rsidP="00320011">
      <w:pPr>
        <w:ind w:firstLine="708"/>
        <w:jc w:val="both"/>
        <w:textAlignment w:val="baseline"/>
        <w:rPr>
          <w:rFonts w:eastAsia="Times New Roman" w:cs="Times New Roman"/>
          <w:color w:val="444444"/>
          <w:lang w:eastAsia="hr-HR"/>
          <w14:ligatures w14:val="none"/>
        </w:rPr>
      </w:pPr>
      <w:r w:rsidRPr="00320011">
        <w:rPr>
          <w:rFonts w:eastAsia="Times New Roman" w:cs="Times New Roman"/>
          <w:color w:val="444444"/>
          <w:lang w:eastAsia="hr-HR"/>
          <w14:ligatures w14:val="none"/>
        </w:rPr>
        <w:t>Povodom Dana prava osoba s duševnim smetnjama, Klinika za psihijatriju Vrapče i ove godine organizira bogat i raznovrstan program događanja, koji će se održati u petak, 6. lipnja 2025., na više lokacija unutar bolničkog kruga.</w:t>
      </w:r>
    </w:p>
    <w:p w14:paraId="5D978033" w14:textId="77777777" w:rsidR="00320011" w:rsidRPr="00320011" w:rsidRDefault="00320011" w:rsidP="00320011">
      <w:pPr>
        <w:ind w:firstLine="708"/>
        <w:jc w:val="both"/>
        <w:textAlignment w:val="baseline"/>
        <w:rPr>
          <w:rFonts w:eastAsia="Times New Roman" w:cs="Times New Roman"/>
          <w:color w:val="444444"/>
          <w:lang w:eastAsia="hr-HR"/>
          <w14:ligatures w14:val="none"/>
        </w:rPr>
      </w:pPr>
      <w:r w:rsidRPr="00320011">
        <w:rPr>
          <w:rFonts w:eastAsia="Times New Roman" w:cs="Times New Roman"/>
          <w:color w:val="444444"/>
          <w:lang w:eastAsia="hr-HR"/>
          <w14:ligatures w14:val="none"/>
        </w:rPr>
        <w:t xml:space="preserve">Cilj programa jest kroz kulturu, umjetnost i stručno promišljanje dodatno osvijestiti važnost zaštite prava i dostojanstva osoba s duševnim smetnjama. </w:t>
      </w:r>
    </w:p>
    <w:p w14:paraId="181E01E4" w14:textId="77777777" w:rsidR="00320011" w:rsidRPr="00320011" w:rsidRDefault="00320011" w:rsidP="00320011">
      <w:pPr>
        <w:ind w:firstLine="708"/>
        <w:textAlignment w:val="baseline"/>
        <w:rPr>
          <w:rFonts w:eastAsia="Times New Roman" w:cs="Times New Roman"/>
          <w:color w:val="444444"/>
          <w:lang w:eastAsia="hr-HR"/>
          <w14:ligatures w14:val="none"/>
        </w:rPr>
      </w:pPr>
      <w:r w:rsidRPr="00320011">
        <w:rPr>
          <w:rFonts w:eastAsia="Times New Roman" w:cs="Times New Roman"/>
          <w:color w:val="444444"/>
          <w:lang w:eastAsia="hr-HR"/>
          <w14:ligatures w14:val="none"/>
        </w:rPr>
        <w:t xml:space="preserve">Program obuhvaća sljedeće aktivnosti: </w:t>
      </w:r>
    </w:p>
    <w:p w14:paraId="523B47BE" w14:textId="77777777" w:rsidR="00320011" w:rsidRPr="00320011" w:rsidRDefault="00320011" w:rsidP="00320011">
      <w:pPr>
        <w:numPr>
          <w:ilvl w:val="0"/>
          <w:numId w:val="10"/>
        </w:numPr>
        <w:textAlignment w:val="baseline"/>
        <w:rPr>
          <w:rFonts w:eastAsia="Times New Roman" w:cs="Times New Roman"/>
          <w:color w:val="444444"/>
          <w:lang w:eastAsia="hr-HR"/>
          <w14:ligatures w14:val="none"/>
        </w:rPr>
      </w:pPr>
      <w:r w:rsidRPr="00320011">
        <w:rPr>
          <w:rFonts w:eastAsiaTheme="majorEastAsia" w:cs="Times New Roman"/>
          <w:color w:val="444444"/>
          <w:bdr w:val="none" w:sz="0" w:space="0" w:color="auto" w:frame="1"/>
          <w:lang w:eastAsia="hr-HR"/>
          <w14:ligatures w14:val="none"/>
        </w:rPr>
        <w:t>Okrugli stol: „Psihoterapija danas”</w:t>
      </w:r>
      <w:r w:rsidRPr="00320011">
        <w:rPr>
          <w:rFonts w:eastAsiaTheme="majorEastAsia" w:cs="Times New Roman"/>
          <w:i/>
          <w:iCs/>
          <w:color w:val="444444"/>
          <w:bdr w:val="none" w:sz="0" w:space="0" w:color="auto" w:frame="1"/>
          <w:lang w:eastAsia="hr-HR"/>
          <w14:ligatures w14:val="none"/>
        </w:rPr>
        <w:t xml:space="preserve"> na kojem su</w:t>
      </w:r>
      <w:r w:rsidRPr="00320011">
        <w:rPr>
          <w:rFonts w:eastAsia="Times New Roman" w:cs="Times New Roman"/>
          <w:color w:val="444444"/>
          <w:lang w:eastAsia="hr-HR"/>
          <w14:ligatures w14:val="none"/>
        </w:rPr>
        <w:t xml:space="preserve">djeluju istaknuti stručnjaci iz područja psihoterapije. </w:t>
      </w:r>
    </w:p>
    <w:p w14:paraId="473C1B8A" w14:textId="77777777" w:rsidR="00320011" w:rsidRPr="00320011" w:rsidRDefault="00320011" w:rsidP="00320011">
      <w:pPr>
        <w:numPr>
          <w:ilvl w:val="0"/>
          <w:numId w:val="10"/>
        </w:numPr>
        <w:textAlignment w:val="baseline"/>
        <w:rPr>
          <w:rFonts w:eastAsia="Times New Roman" w:cs="Times New Roman"/>
          <w:color w:val="444444"/>
          <w:lang w:eastAsia="hr-HR"/>
          <w14:ligatures w14:val="none"/>
        </w:rPr>
      </w:pPr>
      <w:r w:rsidRPr="00320011">
        <w:rPr>
          <w:rFonts w:eastAsiaTheme="majorEastAsia" w:cs="Times New Roman"/>
          <w:color w:val="444444"/>
          <w:bdr w:val="none" w:sz="0" w:space="0" w:color="auto" w:frame="1"/>
          <w:lang w:eastAsia="hr-HR"/>
          <w14:ligatures w14:val="none"/>
        </w:rPr>
        <w:t>Likovna kolonija „Vrapče 2025.”</w:t>
      </w:r>
    </w:p>
    <w:p w14:paraId="67F95CF7" w14:textId="77777777" w:rsidR="00320011" w:rsidRPr="00320011" w:rsidRDefault="00320011" w:rsidP="00320011">
      <w:pPr>
        <w:numPr>
          <w:ilvl w:val="0"/>
          <w:numId w:val="10"/>
        </w:numPr>
        <w:textAlignment w:val="baseline"/>
        <w:rPr>
          <w:rFonts w:eastAsia="Times New Roman" w:cs="Times New Roman"/>
          <w:color w:val="444444"/>
          <w:lang w:eastAsia="hr-HR"/>
          <w14:ligatures w14:val="none"/>
        </w:rPr>
      </w:pPr>
      <w:r w:rsidRPr="00320011">
        <w:rPr>
          <w:rFonts w:eastAsiaTheme="majorEastAsia" w:cs="Times New Roman"/>
          <w:color w:val="444444"/>
          <w:bdr w:val="none" w:sz="0" w:space="0" w:color="auto" w:frame="1"/>
          <w:lang w:eastAsia="hr-HR"/>
          <w14:ligatures w14:val="none"/>
        </w:rPr>
        <w:t>Otvorenje izložbe slikarice Marije Škorić: „ReView”</w:t>
      </w:r>
    </w:p>
    <w:p w14:paraId="647055C8" w14:textId="77777777" w:rsidR="00320011" w:rsidRPr="00320011" w:rsidRDefault="00320011" w:rsidP="00320011">
      <w:pPr>
        <w:numPr>
          <w:ilvl w:val="0"/>
          <w:numId w:val="10"/>
        </w:numPr>
        <w:textAlignment w:val="baseline"/>
        <w:rPr>
          <w:rFonts w:eastAsia="Times New Roman" w:cs="Times New Roman"/>
          <w:color w:val="444444"/>
          <w:lang w:eastAsia="hr-HR"/>
          <w14:ligatures w14:val="none"/>
        </w:rPr>
      </w:pPr>
      <w:r w:rsidRPr="00320011">
        <w:rPr>
          <w:rFonts w:eastAsiaTheme="majorEastAsia" w:cs="Times New Roman"/>
          <w:color w:val="444444"/>
          <w:bdr w:val="none" w:sz="0" w:space="0" w:color="auto" w:frame="1"/>
          <w:lang w:eastAsia="hr-HR"/>
          <w14:ligatures w14:val="none"/>
        </w:rPr>
        <w:t>Filmska tribina: Prikazivanje filma „Gaslight” (red. G. Cukor, 1944.)</w:t>
      </w:r>
    </w:p>
    <w:p w14:paraId="4497C2A1" w14:textId="77777777" w:rsidR="00320011" w:rsidRPr="00320011" w:rsidRDefault="00320011" w:rsidP="00320011">
      <w:pPr>
        <w:suppressAutoHyphens/>
        <w:jc w:val="both"/>
        <w:rPr>
          <w:rFonts w:eastAsia="Times New Roman" w:cs="Times New Roman"/>
          <w:color w:val="000000" w:themeColor="text1"/>
          <w14:ligatures w14:val="none"/>
        </w:rPr>
      </w:pPr>
    </w:p>
    <w:sectPr w:rsidR="00320011" w:rsidRPr="00320011" w:rsidSect="00320011">
      <w:footerReference w:type="default" r:id="rId8"/>
      <w:pgSz w:w="11906" w:h="16838"/>
      <w:pgMar w:top="1135" w:right="1133" w:bottom="1276"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F69C" w14:textId="77777777" w:rsidR="0003394B" w:rsidRDefault="0003394B">
      <w:r>
        <w:separator/>
      </w:r>
    </w:p>
  </w:endnote>
  <w:endnote w:type="continuationSeparator" w:id="0">
    <w:p w14:paraId="714EA2DE" w14:textId="77777777" w:rsidR="0003394B" w:rsidRDefault="0003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B239" w14:textId="77777777" w:rsidR="00320011" w:rsidRDefault="00320011">
    <w:pPr>
      <w:pStyle w:val="Podnoje"/>
      <w:jc w:val="right"/>
    </w:pPr>
    <w:r>
      <w:fldChar w:fldCharType="begin"/>
    </w:r>
    <w:r>
      <w:instrText xml:space="preserve"> PAGE </w:instrText>
    </w:r>
    <w:r>
      <w:fldChar w:fldCharType="separate"/>
    </w:r>
    <w:r>
      <w:rPr>
        <w:noProof/>
      </w:rPr>
      <w:t>10</w:t>
    </w:r>
    <w:r>
      <w:fldChar w:fldCharType="end"/>
    </w:r>
  </w:p>
  <w:p w14:paraId="172008A1" w14:textId="77777777" w:rsidR="00320011" w:rsidRDefault="003200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AB53" w14:textId="77777777" w:rsidR="0003394B" w:rsidRDefault="0003394B">
      <w:r>
        <w:separator/>
      </w:r>
    </w:p>
  </w:footnote>
  <w:footnote w:type="continuationSeparator" w:id="0">
    <w:p w14:paraId="441C53D9" w14:textId="77777777" w:rsidR="0003394B" w:rsidRDefault="00033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567"/>
    <w:multiLevelType w:val="multilevel"/>
    <w:tmpl w:val="6EB81D7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2599D"/>
    <w:multiLevelType w:val="hybridMultilevel"/>
    <w:tmpl w:val="F9C48712"/>
    <w:lvl w:ilvl="0" w:tplc="97CC06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F5675D"/>
    <w:multiLevelType w:val="hybridMultilevel"/>
    <w:tmpl w:val="297CE904"/>
    <w:lvl w:ilvl="0" w:tplc="4A26E386">
      <w:start w:val="40"/>
      <w:numFmt w:val="bullet"/>
      <w:lvlText w:val="-"/>
      <w:lvlJc w:val="left"/>
      <w:pPr>
        <w:ind w:left="720" w:hanging="360"/>
      </w:pPr>
      <w:rPr>
        <w:rFonts w:ascii="Arial Narrow" w:eastAsia="Times New Roman" w:hAnsi="Arial Narrow"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451724"/>
    <w:multiLevelType w:val="singleLevel"/>
    <w:tmpl w:val="AE6AB070"/>
    <w:lvl w:ilvl="0">
      <w:start w:val="1"/>
      <w:numFmt w:val="decimal"/>
      <w:lvlText w:val="%1."/>
      <w:legacy w:legacy="1" w:legacySpace="0" w:legacyIndent="360"/>
      <w:lvlJc w:val="left"/>
      <w:pPr>
        <w:ind w:left="360" w:hanging="360"/>
      </w:pPr>
    </w:lvl>
  </w:abstractNum>
  <w:abstractNum w:abstractNumId="4" w15:restartNumberingAfterBreak="0">
    <w:nsid w:val="4F58389A"/>
    <w:multiLevelType w:val="hybridMultilevel"/>
    <w:tmpl w:val="5BC2B128"/>
    <w:lvl w:ilvl="0" w:tplc="078831A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1B4648"/>
    <w:multiLevelType w:val="hybridMultilevel"/>
    <w:tmpl w:val="D66693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58B5534"/>
    <w:multiLevelType w:val="multilevel"/>
    <w:tmpl w:val="DA7414E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Arial Narrow" w:hAnsi="Arial Narrow" w:cs="Arial Narrow"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6686B4D"/>
    <w:multiLevelType w:val="hybridMultilevel"/>
    <w:tmpl w:val="6A7CA9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E7C5424"/>
    <w:multiLevelType w:val="hybridMultilevel"/>
    <w:tmpl w:val="5BD20E1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7D15CDE"/>
    <w:multiLevelType w:val="hybridMultilevel"/>
    <w:tmpl w:val="DC6CD0BE"/>
    <w:lvl w:ilvl="0" w:tplc="9364DE04">
      <w:numFmt w:val="bullet"/>
      <w:lvlText w:val="-"/>
      <w:lvlJc w:val="left"/>
      <w:pPr>
        <w:ind w:left="720" w:hanging="360"/>
      </w:pPr>
      <w:rPr>
        <w:rFonts w:ascii="Arial Narrow" w:eastAsia="Times New Roman"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273567">
    <w:abstractNumId w:val="6"/>
  </w:num>
  <w:num w:numId="2" w16cid:durableId="2042439912">
    <w:abstractNumId w:val="5"/>
  </w:num>
  <w:num w:numId="3" w16cid:durableId="76367150">
    <w:abstractNumId w:val="3"/>
  </w:num>
  <w:num w:numId="4" w16cid:durableId="576943660">
    <w:abstractNumId w:val="9"/>
  </w:num>
  <w:num w:numId="5" w16cid:durableId="530342376">
    <w:abstractNumId w:val="7"/>
  </w:num>
  <w:num w:numId="6" w16cid:durableId="56171734">
    <w:abstractNumId w:val="8"/>
  </w:num>
  <w:num w:numId="7" w16cid:durableId="871845474">
    <w:abstractNumId w:val="2"/>
  </w:num>
  <w:num w:numId="8" w16cid:durableId="426316719">
    <w:abstractNumId w:val="1"/>
  </w:num>
  <w:num w:numId="9" w16cid:durableId="524951328">
    <w:abstractNumId w:val="0"/>
    <w:lvlOverride w:ilvl="0">
      <w:startOverride w:val="1"/>
    </w:lvlOverride>
  </w:num>
  <w:num w:numId="10" w16cid:durableId="65576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11"/>
    <w:rsid w:val="0003394B"/>
    <w:rsid w:val="00184E8B"/>
    <w:rsid w:val="00272A02"/>
    <w:rsid w:val="00320011"/>
    <w:rsid w:val="00463797"/>
    <w:rsid w:val="005F1A80"/>
    <w:rsid w:val="0062701C"/>
    <w:rsid w:val="007143E4"/>
    <w:rsid w:val="00A220CA"/>
    <w:rsid w:val="00CE315B"/>
    <w:rsid w:val="00DD5731"/>
    <w:rsid w:val="00E86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3DAF"/>
  <w15:chartTrackingRefBased/>
  <w15:docId w15:val="{6DCCDAC6-B6DE-4DC2-9B1C-604D6D9F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20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20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200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200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320011"/>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320011"/>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320011"/>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320011"/>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320011"/>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2001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2001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20011"/>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320011"/>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320011"/>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320011"/>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320011"/>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320011"/>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320011"/>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32001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200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20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2001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320011"/>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320011"/>
    <w:rPr>
      <w:i/>
      <w:iCs/>
      <w:color w:val="404040" w:themeColor="text1" w:themeTint="BF"/>
    </w:rPr>
  </w:style>
  <w:style w:type="paragraph" w:styleId="Odlomakpopisa">
    <w:name w:val="List Paragraph"/>
    <w:basedOn w:val="Normal"/>
    <w:uiPriority w:val="34"/>
    <w:qFormat/>
    <w:rsid w:val="00320011"/>
    <w:pPr>
      <w:ind w:left="720"/>
      <w:contextualSpacing/>
    </w:pPr>
  </w:style>
  <w:style w:type="character" w:styleId="Jakoisticanje">
    <w:name w:val="Intense Emphasis"/>
    <w:basedOn w:val="Zadanifontodlomka"/>
    <w:uiPriority w:val="21"/>
    <w:qFormat/>
    <w:rsid w:val="00320011"/>
    <w:rPr>
      <w:i/>
      <w:iCs/>
      <w:color w:val="2F5496" w:themeColor="accent1" w:themeShade="BF"/>
    </w:rPr>
  </w:style>
  <w:style w:type="paragraph" w:styleId="Naglaencitat">
    <w:name w:val="Intense Quote"/>
    <w:basedOn w:val="Normal"/>
    <w:next w:val="Normal"/>
    <w:link w:val="NaglaencitatChar"/>
    <w:uiPriority w:val="30"/>
    <w:qFormat/>
    <w:rsid w:val="00320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20011"/>
    <w:rPr>
      <w:i/>
      <w:iCs/>
      <w:color w:val="2F5496" w:themeColor="accent1" w:themeShade="BF"/>
    </w:rPr>
  </w:style>
  <w:style w:type="character" w:styleId="Istaknutareferenca">
    <w:name w:val="Intense Reference"/>
    <w:basedOn w:val="Zadanifontodlomka"/>
    <w:uiPriority w:val="32"/>
    <w:qFormat/>
    <w:rsid w:val="00320011"/>
    <w:rPr>
      <w:b/>
      <w:bCs/>
      <w:smallCaps/>
      <w:color w:val="2F5496" w:themeColor="accent1" w:themeShade="BF"/>
      <w:spacing w:val="5"/>
    </w:rPr>
  </w:style>
  <w:style w:type="paragraph" w:styleId="Podnoje">
    <w:name w:val="footer"/>
    <w:basedOn w:val="Normal"/>
    <w:link w:val="PodnojeChar"/>
    <w:uiPriority w:val="99"/>
    <w:semiHidden/>
    <w:unhideWhenUsed/>
    <w:rsid w:val="00320011"/>
    <w:pPr>
      <w:tabs>
        <w:tab w:val="center" w:pos="4536"/>
        <w:tab w:val="right" w:pos="9072"/>
      </w:tabs>
    </w:pPr>
  </w:style>
  <w:style w:type="character" w:customStyle="1" w:styleId="PodnojeChar">
    <w:name w:val="Podnožje Char"/>
    <w:basedOn w:val="Zadanifontodlomka"/>
    <w:link w:val="Podnoje"/>
    <w:uiPriority w:val="99"/>
    <w:semiHidden/>
    <w:rsid w:val="0032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Bolic</dc:creator>
  <cp:keywords/>
  <dc:description/>
  <cp:lastModifiedBy>Jasna Bolic</cp:lastModifiedBy>
  <cp:revision>2</cp:revision>
  <dcterms:created xsi:type="dcterms:W3CDTF">2025-10-27T09:37:00Z</dcterms:created>
  <dcterms:modified xsi:type="dcterms:W3CDTF">2025-10-27T10:13:00Z</dcterms:modified>
</cp:coreProperties>
</file>